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112645" cy="1429385"/>
            <wp:effectExtent l="0" t="0" r="5715" b="3175"/>
            <wp:docPr id="3" name="图片 3" descr="logo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红"/>
                    <pic:cNvPicPr>
                      <a:picLocks noChangeAspect="1"/>
                    </pic:cNvPicPr>
                  </pic:nvPicPr>
                  <pic:blipFill>
                    <a:blip r:embed="rId20"/>
                    <a:srcRect b="36964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eastAsia="zh-CN"/>
        </w:rPr>
      </w:pPr>
    </w:p>
    <w:p>
      <w:pPr>
        <w:pStyle w:val="58"/>
        <w:ind w:left="0" w:leftChars="0" w:firstLine="0" w:firstLineChars="0"/>
        <w:jc w:val="center"/>
        <w:rPr>
          <w:rFonts w:hint="eastAsia" w:cs="宋体"/>
          <w:b/>
          <w:bCs/>
          <w:sz w:val="52"/>
          <w:szCs w:val="52"/>
          <w:highlight w:val="none"/>
          <w:lang w:val="en-US" w:eastAsia="zh-CN"/>
        </w:rPr>
      </w:pPr>
      <w:r>
        <w:rPr>
          <w:rFonts w:hint="eastAsia" w:cs="宋体"/>
          <w:b/>
          <w:bCs/>
          <w:sz w:val="52"/>
          <w:szCs w:val="52"/>
          <w:highlight w:val="none"/>
          <w:lang w:val="en-US" w:eastAsia="zh-CN"/>
        </w:rPr>
        <w:t>百城e采电子交易平台</w:t>
      </w:r>
    </w:p>
    <w:p>
      <w:pPr>
        <w:pStyle w:val="58"/>
        <w:ind w:left="0" w:leftChars="0" w:firstLine="0" w:firstLineChars="0"/>
        <w:jc w:val="center"/>
      </w:pPr>
      <w:r>
        <w:rPr>
          <w:rFonts w:hint="eastAsia" w:cs="宋体"/>
          <w:b/>
          <w:bCs/>
          <w:sz w:val="52"/>
          <w:szCs w:val="52"/>
          <w:lang w:val="en-US" w:eastAsia="zh-CN"/>
        </w:rPr>
        <w:t>招标代理操作手册v1.0</w:t>
      </w: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pStyle w:val="58"/>
        <w:ind w:left="0" w:leftChars="0" w:firstLine="0" w:firstLineChars="0"/>
      </w:pPr>
    </w:p>
    <w:p>
      <w:pPr>
        <w:widowControl w:val="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202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年</w:t>
      </w:r>
      <w:r>
        <w:rPr>
          <w:rFonts w:hint="eastAsia" w:eastAsia="宋体" w:cs="Times New Roman"/>
          <w:b/>
          <w:bCs/>
          <w:kern w:val="2"/>
          <w:sz w:val="24"/>
          <w:szCs w:val="24"/>
          <w:lang w:val="en-US" w:eastAsia="zh-CN" w:bidi="ar-SA"/>
        </w:rPr>
        <w:t>11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月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Cs w:val="21"/>
        </w:rPr>
        <w:br w:type="page"/>
      </w:r>
    </w:p>
    <w:p>
      <w:pPr>
        <w:pStyle w:val="58"/>
        <w:ind w:left="0" w:leftChars="0" w:firstLine="0" w:firstLineChars="0"/>
        <w:jc w:val="both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0"/>
          <w:cols w:space="0" w:num="1"/>
          <w:titlePg/>
          <w:rtlGutter w:val="0"/>
          <w:docGrid w:type="lines" w:linePitch="312" w:charSpace="0"/>
        </w:sectPr>
      </w:pPr>
      <w:bookmarkStart w:id="0" w:name="_Toc12576"/>
      <w:bookmarkStart w:id="1" w:name="_Toc13646"/>
      <w:bookmarkStart w:id="2" w:name="_Toc18337"/>
    </w:p>
    <w:bookmarkEnd w:id="0"/>
    <w:bookmarkEnd w:id="1"/>
    <w:bookmarkEnd w:id="2"/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9404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46" w:name="_GoBack"/>
          <w:bookmarkEnd w:id="146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9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_Toc7782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</w:rPr>
            <w:t xml:space="preserve">1. </w:t>
          </w:r>
          <w:r>
            <w:rPr>
              <w:rFonts w:hint="eastAsia" w:ascii="思源宋体 CN Light" w:hAnsi="思源宋体 CN Light" w:eastAsia="思源宋体 CN Light" w:cs="思源宋体 CN Light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_Toc7782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_Toc26543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1.1. </w:t>
          </w:r>
          <w:r>
            <w:rPr>
              <w:rFonts w:hint="eastAsia" w:ascii="Times New Roman" w:hAnsi="Times New Roman" w:eastAsia="宋体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_Toc26543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_Toc19345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1.2. </w:t>
          </w:r>
          <w:r>
            <w:rPr>
              <w:rFonts w:hint="eastAsia" w:ascii="Times New Roman" w:hAnsi="Times New Roman" w:eastAsia="宋体"/>
            </w:rPr>
            <w:t>修改口令</w:t>
          </w:r>
          <w:r>
            <w:tab/>
          </w:r>
          <w:r>
            <w:fldChar w:fldCharType="begin"/>
          </w:r>
          <w:r>
            <w:instrText xml:space="preserve"> PAGEREF _Toc19345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_Toc6629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1.3. </w:t>
          </w:r>
          <w:r>
            <w:rPr>
              <w:rFonts w:hint="eastAsia" w:ascii="Times New Roman" w:hAnsi="Times New Roman" w:eastAsia="宋体"/>
              <w:lang w:val="en-US" w:eastAsia="zh-CN"/>
            </w:rPr>
            <w:t>启动</w:t>
          </w:r>
          <w:r>
            <w:rPr>
              <w:rFonts w:hint="eastAsia" w:ascii="Times New Roman" w:hAnsi="Times New Roman" w:eastAsia="宋体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_Toc6629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_Toc21866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</w:rPr>
            <w:t xml:space="preserve">1.4. </w:t>
          </w:r>
          <w:r>
            <w:rPr>
              <w:rFonts w:hint="eastAsia" w:ascii="Times New Roman" w:hAnsi="Times New Roman" w:eastAsia="宋体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_Toc21866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_Toc12808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</w:rPr>
            <w:t xml:space="preserve">1.4.1.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_Toc12808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_Toc9879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</w:rPr>
            <w:t xml:space="preserve">1.4.2.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_Toc9879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_Toc16867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</w:rPr>
            <w:t xml:space="preserve">1.4.3. </w:t>
          </w:r>
          <w:r>
            <w:rPr>
              <w:rFonts w:hint="eastAsia"/>
              <w:lang w:val="en-US" w:eastAsia="zh-CN"/>
            </w:rPr>
            <w:t>兼容性视图设置</w:t>
          </w:r>
          <w:r>
            <w:tab/>
          </w:r>
          <w:r>
            <w:fldChar w:fldCharType="begin"/>
          </w:r>
          <w:r>
            <w:instrText xml:space="preserve"> PAGEREF _Toc16867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_Toc31881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1.4.4. </w:t>
          </w:r>
          <w:r>
            <w:rPr>
              <w:rFonts w:hint="eastAsia"/>
              <w:lang w:val="en-US" w:eastAsia="zh-CN"/>
            </w:rPr>
            <w:t>控制面板设置</w:t>
          </w:r>
          <w:r>
            <w:tab/>
          </w:r>
          <w:r>
            <w:fldChar w:fldCharType="begin"/>
          </w:r>
          <w:r>
            <w:instrText xml:space="preserve"> PAGEREF _Toc31881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9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_Toc168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lang w:val="en-US" w:eastAsia="zh-CN"/>
            </w:rPr>
            <w:t xml:space="preserve">2.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招标代理注册</w:t>
          </w:r>
          <w:r>
            <w:tab/>
          </w:r>
          <w:r>
            <w:fldChar w:fldCharType="begin"/>
          </w:r>
          <w:r>
            <w:instrText xml:space="preserve"> PAGEREF _Toc168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_Toc2825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2.1. </w:t>
          </w:r>
          <w:r>
            <w:rPr>
              <w:rFonts w:hint="eastAsia" w:ascii="Times New Roman" w:hAnsi="Times New Roman" w:eastAsia="宋体"/>
              <w:lang w:val="en-US" w:eastAsia="zh-CN"/>
            </w:rPr>
            <w:t>招标代理注册</w:t>
          </w:r>
          <w:r>
            <w:tab/>
          </w:r>
          <w:r>
            <w:fldChar w:fldCharType="begin"/>
          </w:r>
          <w:r>
            <w:instrText xml:space="preserve"> PAGEREF _Toc2825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9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_Toc20182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lang w:val="en-US" w:eastAsia="zh-CN"/>
            </w:rPr>
            <w:t xml:space="preserve">3.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电子标全流程操作（以公开招标为例）</w:t>
          </w:r>
          <w:r>
            <w:tab/>
          </w:r>
          <w:r>
            <w:fldChar w:fldCharType="begin"/>
          </w:r>
          <w:r>
            <w:instrText xml:space="preserve"> PAGEREF _Toc20182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_Toc9487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3.1. </w:t>
          </w:r>
          <w:r>
            <w:rPr>
              <w:rFonts w:hint="eastAsia" w:ascii="Times New Roman" w:hAnsi="Times New Roman" w:eastAsia="宋体"/>
              <w:lang w:val="en-US" w:eastAsia="zh-CN"/>
            </w:rPr>
            <w:t>采购立项管理</w:t>
          </w:r>
          <w:r>
            <w:tab/>
          </w:r>
          <w:r>
            <w:fldChar w:fldCharType="begin"/>
          </w:r>
          <w:r>
            <w:instrText xml:space="preserve"> PAGEREF _Toc9487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_Toc7731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 </w:t>
          </w:r>
          <w:r>
            <w:rPr>
              <w:rFonts w:hint="eastAsia" w:ascii="Times New Roman" w:hAnsi="Times New Roman" w:eastAsia="宋体"/>
              <w:lang w:val="en-US" w:eastAsia="zh-CN"/>
            </w:rPr>
            <w:t>招标采购业务</w:t>
          </w:r>
          <w:r>
            <w:tab/>
          </w:r>
          <w:r>
            <w:fldChar w:fldCharType="begin"/>
          </w:r>
          <w:r>
            <w:instrText xml:space="preserve"> PAGEREF _Toc7731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_Toc23882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3.2.1. </w:t>
          </w:r>
          <w:r>
            <w:rPr>
              <w:rFonts w:hint="eastAsia"/>
              <w:lang w:val="en-US" w:eastAsia="zh-CN"/>
            </w:rPr>
            <w:t>开评标场地预约</w:t>
          </w:r>
          <w:r>
            <w:tab/>
          </w:r>
          <w:r>
            <w:fldChar w:fldCharType="begin"/>
          </w:r>
          <w:r>
            <w:instrText xml:space="preserve"> PAGEREF _Toc23882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_Toc1707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3.2.2. </w:t>
          </w:r>
          <w:r>
            <w:rPr>
              <w:rFonts w:hint="eastAsia"/>
              <w:lang w:val="en-US" w:eastAsia="zh-CN"/>
            </w:rPr>
            <w:t>开评标场地变更</w:t>
          </w:r>
          <w:r>
            <w:tab/>
          </w:r>
          <w:r>
            <w:fldChar w:fldCharType="begin"/>
          </w:r>
          <w:r>
            <w:instrText xml:space="preserve"> PAGEREF _Toc1707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_Toc25612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3.2.3. </w:t>
          </w:r>
          <w:r>
            <w:rPr>
              <w:rFonts w:hint="eastAsia"/>
              <w:lang w:val="en-US" w:eastAsia="zh-CN"/>
            </w:rPr>
            <w:t>招标文件编制</w:t>
          </w:r>
          <w:r>
            <w:tab/>
          </w:r>
          <w:r>
            <w:fldChar w:fldCharType="begin"/>
          </w:r>
          <w:r>
            <w:instrText xml:space="preserve"> PAGEREF _Toc25612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_Toc22289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3.2.4. </w:t>
          </w:r>
          <w:r>
            <w:rPr>
              <w:rFonts w:hint="eastAsia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_Toc22289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_Toc21877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3.2.5. </w:t>
          </w:r>
          <w:r>
            <w:rPr>
              <w:rFonts w:hint="eastAsia"/>
              <w:lang w:val="en-US" w:eastAsia="zh-CN"/>
            </w:rPr>
            <w:t>澄清文件编制</w:t>
          </w:r>
          <w:r>
            <w:tab/>
          </w:r>
          <w:r>
            <w:fldChar w:fldCharType="begin"/>
          </w:r>
          <w:r>
            <w:instrText xml:space="preserve"> PAGEREF _Toc21877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_Toc10527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3.2.6. </w:t>
          </w:r>
          <w:r>
            <w:rPr>
              <w:rFonts w:hint="eastAsia"/>
              <w:lang w:val="en-US" w:eastAsia="zh-CN"/>
            </w:rPr>
            <w:t>变更公告</w:t>
          </w:r>
          <w:r>
            <w:tab/>
          </w:r>
          <w:r>
            <w:fldChar w:fldCharType="begin"/>
          </w:r>
          <w:r>
            <w:instrText xml:space="preserve"> PAGEREF _Toc10527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_Toc528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3.2.7. </w:t>
          </w:r>
          <w:r>
            <w:rPr>
              <w:rFonts w:hint="eastAsia"/>
              <w:lang w:val="en-US" w:eastAsia="zh-CN"/>
            </w:rPr>
            <w:t>组建评标委员会</w:t>
          </w:r>
          <w:r>
            <w:tab/>
          </w:r>
          <w:r>
            <w:fldChar w:fldCharType="begin"/>
          </w:r>
          <w:r>
            <w:instrText xml:space="preserve"> PAGEREF _Toc528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_Toc31263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3.2.8.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开标情况</w:t>
          </w:r>
          <w:r>
            <w:tab/>
          </w:r>
          <w:r>
            <w:fldChar w:fldCharType="begin"/>
          </w:r>
          <w:r>
            <w:instrText xml:space="preserve"> PAGEREF _Toc31263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_Toc19777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3.2.9.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评标情况</w:t>
          </w:r>
          <w:r>
            <w:tab/>
          </w:r>
          <w:r>
            <w:fldChar w:fldCharType="begin"/>
          </w:r>
          <w:r>
            <w:instrText xml:space="preserve"> PAGEREF _Toc19777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_Toc5661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3.2.10. </w:t>
          </w:r>
          <w:r>
            <w:rPr>
              <w:rFonts w:hint="eastAsia"/>
              <w:lang w:val="en-US" w:eastAsia="zh-CN"/>
            </w:rPr>
            <w:t>中标候选人公示</w:t>
          </w:r>
          <w:r>
            <w:tab/>
          </w:r>
          <w:r>
            <w:fldChar w:fldCharType="begin"/>
          </w:r>
          <w:r>
            <w:instrText xml:space="preserve"> PAGEREF _Toc5661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_Toc22579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3.2.11. </w:t>
          </w:r>
          <w:r>
            <w:rPr>
              <w:rFonts w:hint="eastAsia"/>
              <w:lang w:val="en-US" w:eastAsia="zh-CN"/>
            </w:rPr>
            <w:t>中标结果公告</w:t>
          </w:r>
          <w:r>
            <w:tab/>
          </w:r>
          <w:r>
            <w:fldChar w:fldCharType="begin"/>
          </w:r>
          <w:r>
            <w:instrText xml:space="preserve"> PAGEREF _Toc22579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_Toc20900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3.2.12. </w:t>
          </w:r>
          <w:r>
            <w:rPr>
              <w:rFonts w:hint="eastAsia"/>
              <w:lang w:val="en-US" w:eastAsia="zh-CN"/>
            </w:rPr>
            <w:t>中标通知书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9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_Toc9512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lang w:val="en-US" w:eastAsia="zh-CN"/>
            </w:rPr>
            <w:t xml:space="preserve">4.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纸质标全流程操作（以公开招标为例）</w:t>
          </w:r>
          <w:r>
            <w:tab/>
          </w:r>
          <w:r>
            <w:fldChar w:fldCharType="begin"/>
          </w:r>
          <w:r>
            <w:instrText xml:space="preserve"> PAGEREF _Toc9512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_Toc11847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4.1. </w:t>
          </w:r>
          <w:r>
            <w:rPr>
              <w:rFonts w:hint="eastAsia" w:ascii="Times New Roman" w:hAnsi="Times New Roman" w:eastAsia="宋体"/>
              <w:lang w:val="en-US" w:eastAsia="zh-CN"/>
            </w:rPr>
            <w:t>采购立项管理</w:t>
          </w:r>
          <w:r>
            <w:tab/>
          </w:r>
          <w:r>
            <w:fldChar w:fldCharType="begin"/>
          </w:r>
          <w:r>
            <w:instrText xml:space="preserve"> PAGEREF _Toc11847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_Toc32344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 w:ascii="Times New Roman" w:hAnsi="Times New Roman" w:eastAsia="宋体"/>
              <w:lang w:val="en-US" w:eastAsia="zh-CN"/>
            </w:rPr>
            <w:t>招标采购业务</w:t>
          </w:r>
          <w:r>
            <w:tab/>
          </w:r>
          <w:r>
            <w:fldChar w:fldCharType="begin"/>
          </w:r>
          <w:r>
            <w:instrText xml:space="preserve"> PAGEREF _Toc32344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_Toc10374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4.2.1. </w:t>
          </w:r>
          <w:r>
            <w:rPr>
              <w:rFonts w:hint="eastAsia"/>
              <w:lang w:val="en-US" w:eastAsia="zh-CN"/>
            </w:rPr>
            <w:t>开评标场地预约</w:t>
          </w:r>
          <w:r>
            <w:tab/>
          </w:r>
          <w:r>
            <w:fldChar w:fldCharType="begin"/>
          </w:r>
          <w:r>
            <w:instrText xml:space="preserve"> PAGEREF _Toc10374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_Toc1224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4.2.2. </w:t>
          </w:r>
          <w:r>
            <w:rPr>
              <w:rFonts w:hint="eastAsia"/>
              <w:lang w:val="en-US" w:eastAsia="zh-CN"/>
            </w:rPr>
            <w:t>开评标场地变更</w:t>
          </w:r>
          <w:r>
            <w:tab/>
          </w:r>
          <w:r>
            <w:fldChar w:fldCharType="begin"/>
          </w:r>
          <w:r>
            <w:instrText xml:space="preserve"> PAGEREF _Toc1224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_Toc8659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4.2.3.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招标文件编制</w:t>
          </w:r>
          <w:r>
            <w:tab/>
          </w:r>
          <w:r>
            <w:fldChar w:fldCharType="begin"/>
          </w:r>
          <w:r>
            <w:instrText xml:space="preserve"> PAGEREF _Toc8659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_Toc11955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4.2.4. </w:t>
          </w:r>
          <w:r>
            <w:rPr>
              <w:rFonts w:hint="eastAsia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_Toc11955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_Toc12222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4.2.5.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澄清文件编制</w:t>
          </w:r>
          <w:r>
            <w:tab/>
          </w:r>
          <w:r>
            <w:fldChar w:fldCharType="begin"/>
          </w:r>
          <w:r>
            <w:instrText xml:space="preserve"> PAGEREF _Toc12222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_Toc31369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4.2.6. </w:t>
          </w:r>
          <w:r>
            <w:rPr>
              <w:rFonts w:hint="eastAsia"/>
              <w:lang w:val="en-US" w:eastAsia="zh-CN"/>
            </w:rPr>
            <w:t>变更公告</w:t>
          </w:r>
          <w:r>
            <w:tab/>
          </w:r>
          <w:r>
            <w:fldChar w:fldCharType="begin"/>
          </w:r>
          <w:r>
            <w:instrText xml:space="preserve"> PAGEREF _Toc31369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_Toc8600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4.2.7. </w:t>
          </w:r>
          <w:r>
            <w:rPr>
              <w:rFonts w:hint="eastAsia"/>
              <w:lang w:val="en-US" w:eastAsia="zh-CN"/>
            </w:rPr>
            <w:t>组建评标委员会</w:t>
          </w:r>
          <w:r>
            <w:tab/>
          </w:r>
          <w:r>
            <w:fldChar w:fldCharType="begin"/>
          </w:r>
          <w:r>
            <w:instrText xml:space="preserve"> PAGEREF _Toc8600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_Toc649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4.2.8.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开标情况</w:t>
          </w:r>
          <w:r>
            <w:tab/>
          </w:r>
          <w:r>
            <w:fldChar w:fldCharType="begin"/>
          </w:r>
          <w:r>
            <w:instrText xml:space="preserve"> PAGEREF _Toc649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_Toc22537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bCs/>
              <w:kern w:val="2"/>
              <w:szCs w:val="18"/>
              <w:lang w:val="en-US" w:eastAsia="zh-CN" w:bidi="ar-SA"/>
            </w:rPr>
            <w:t xml:space="preserve">4.2.9. </w:t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评标情况</w:t>
          </w:r>
          <w:r>
            <w:tab/>
          </w:r>
          <w:r>
            <w:fldChar w:fldCharType="begin"/>
          </w:r>
          <w:r>
            <w:instrText xml:space="preserve"> PAGEREF _Toc22537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_Toc16000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4.2.10. </w:t>
          </w:r>
          <w:r>
            <w:rPr>
              <w:rFonts w:hint="eastAsia"/>
              <w:lang w:val="en-US" w:eastAsia="zh-CN"/>
            </w:rPr>
            <w:t>中标候选人公示</w:t>
          </w:r>
          <w:r>
            <w:tab/>
          </w:r>
          <w:r>
            <w:fldChar w:fldCharType="begin"/>
          </w:r>
          <w:r>
            <w:instrText xml:space="preserve"> PAGEREF _Toc16000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instrText xml:space="preserve"> HYPERLINK \l _Toc9832 </w:instrText>
          </w:r>
          <w:r>
            <w:rPr>
              <w:rFonts w:hint="eastAsia" w:ascii="思源宋体 CN Light" w:hAnsi="思源宋体 CN Light" w:eastAsia="思源宋体 CN Light" w:cs="思源宋体 CN Light"/>
              <w:szCs w:val="20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4.2.11. </w:t>
          </w:r>
          <w:r>
            <w:rPr>
              <w:rFonts w:hint="eastAsia"/>
              <w:lang w:val="en-US" w:eastAsia="zh-CN"/>
            </w:rPr>
            <w:t>中标结果公告</w:t>
          </w:r>
          <w:r>
            <w:tab/>
          </w:r>
          <w:r>
            <w:fldChar w:fldCharType="begin"/>
          </w:r>
          <w:r>
            <w:instrText xml:space="preserve"> PAGEREF _Toc9832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58"/>
            <w:ind w:firstLine="0" w:firstLineChars="0"/>
            <w:rPr>
              <w:rFonts w:hint="eastAsia" w:ascii="思源宋体 CN Light" w:hAnsi="思源宋体 CN Light" w:eastAsia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思源宋体 CN Light" w:hAnsi="思源宋体 CN Light" w:eastAsia="思源宋体 CN Light" w:cs="思源宋体 CN Light"/>
              <w:color w:val="000000" w:themeColor="text1"/>
              <w:szCs w:val="2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pStyle w:val="58"/>
        <w:spacing w:line="240" w:lineRule="auto"/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11" w:type="default"/>
          <w:footerReference r:id="rId12" w:type="default"/>
          <w:pgSz w:w="11906" w:h="16838"/>
          <w:pgMar w:top="1440" w:right="1797" w:bottom="1440" w:left="1797" w:header="624" w:footer="624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404243487"/>
      <w:bookmarkStart w:id="4" w:name="_Toc404765182"/>
      <w:bookmarkStart w:id="5" w:name="_Toc404764406"/>
      <w:bookmarkStart w:id="6" w:name="_Toc346183627"/>
      <w:bookmarkStart w:id="7" w:name="_Toc10889"/>
      <w:bookmarkStart w:id="8" w:name="_Toc346701609"/>
      <w:bookmarkStart w:id="9" w:name="_Toc10555"/>
      <w:bookmarkStart w:id="10" w:name="_Toc4333"/>
      <w:bookmarkStart w:id="11" w:name="_Toc27751"/>
      <w:bookmarkStart w:id="12" w:name="_Toc7782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eastAsia" w:ascii="Times New Roman" w:hAnsi="Times New Roman" w:eastAsia="宋体"/>
        </w:rPr>
      </w:pPr>
      <w:bookmarkStart w:id="13" w:name="_Toc11233"/>
      <w:bookmarkStart w:id="14" w:name="_Toc404243489"/>
      <w:bookmarkStart w:id="15" w:name="_Toc13535"/>
      <w:bookmarkStart w:id="16" w:name="_Toc346183629"/>
      <w:bookmarkStart w:id="17" w:name="_Toc17009"/>
      <w:bookmarkStart w:id="18" w:name="_Toc28397"/>
      <w:bookmarkStart w:id="19" w:name="_Toc404765184"/>
      <w:bookmarkStart w:id="20" w:name="_Toc4803"/>
      <w:bookmarkStart w:id="21" w:name="_Toc404764408"/>
      <w:bookmarkStart w:id="22" w:name="_Toc12746"/>
      <w:bookmarkStart w:id="23" w:name="_Toc346701611"/>
      <w:bookmarkStart w:id="24" w:name="_Toc14083"/>
      <w:bookmarkStart w:id="25" w:name="_Toc26543"/>
      <w:bookmarkStart w:id="26" w:name="_Toc12385"/>
      <w:bookmarkStart w:id="27" w:name="_Toc404764410"/>
      <w:bookmarkStart w:id="28" w:name="_Toc22509"/>
      <w:bookmarkStart w:id="29" w:name="_Toc346701613"/>
      <w:bookmarkStart w:id="30" w:name="_Toc346183631"/>
      <w:bookmarkStart w:id="31" w:name="_Toc404243491"/>
      <w:bookmarkStart w:id="32" w:name="_Toc570"/>
      <w:bookmarkStart w:id="33" w:name="_Toc404765186"/>
      <w:r>
        <w:rPr>
          <w:rFonts w:hint="eastAsia" w:ascii="Times New Roman" w:hAnsi="Times New Roman" w:eastAsia="宋体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bidi w:val="0"/>
        <w:rPr>
          <w:rFonts w:hint="eastAsia" w:eastAsia="思源宋体 CN Light"/>
          <w:lang w:val="en-US" w:eastAsia="zh-CN"/>
        </w:rPr>
      </w:pPr>
      <w:r>
        <w:rPr>
          <w:rFonts w:hint="eastAsia"/>
          <w:lang w:val="en-US" w:eastAsia="zh-CN"/>
        </w:rPr>
        <w:t>1、在百城e采电子交易平台的登陆页面下载驱动，下载位置位于输入密码下方。</w:t>
      </w:r>
      <w:r>
        <w:drawing>
          <wp:inline distT="0" distB="0" distL="114300" distR="114300">
            <wp:extent cx="5242560" cy="2299335"/>
            <wp:effectExtent l="0" t="0" r="2540" b="1206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下载完毕后，</w:t>
      </w:r>
      <w:r>
        <w:rPr>
          <w:rFonts w:hint="eastAsia"/>
        </w:rPr>
        <w:t>双击安装程序</w:t>
      </w:r>
      <w:r>
        <w:drawing>
          <wp:inline distT="0" distB="0" distL="114300" distR="114300">
            <wp:extent cx="701040" cy="883285"/>
            <wp:effectExtent l="0" t="0" r="10160" b="571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6370" cy="3490595"/>
            <wp:effectExtent l="0" t="0" r="11430" b="190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>
      <w:pPr>
        <w:numPr>
          <w:ilvl w:val="0"/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选中协议，点击“自定义安装”，打开安装目录位置。</w:t>
      </w:r>
    </w:p>
    <w:p>
      <w:pPr>
        <w:pStyle w:val="2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3751580"/>
            <wp:effectExtent l="0" t="0" r="11430" b="7620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、自定义安装页面，选择需要安装的目录，点击“立即安装”按钮，开始安装驱动。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77485" cy="3215005"/>
            <wp:effectExtent l="0" t="0" r="5715" b="10795"/>
            <wp:docPr id="2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安装“多证融合信任引擎”、“ScSecSeal多格式电子印章系统”。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1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2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3935095"/>
            <wp:effectExtent l="0" t="0" r="11430" b="190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8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rFonts w:hint="eastAsia" w:ascii="华文楷体" w:hAnsi="华文楷体" w:eastAsia="华文楷体" w:cs="宋体-WinCharSetFFFF-H"/>
          <w:kern w:val="0"/>
          <w:sz w:val="24"/>
          <w:lang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自动多格式电子印章系统</w:t>
      </w:r>
      <w:r>
        <w:rPr>
          <w:rFonts w:hint="eastAsia" w:ascii="华文楷体" w:hAnsi="华文楷体" w:eastAsia="华文楷体" w:cs="宋体-WinCharSetFFFF-H"/>
          <w:kern w:val="0"/>
          <w:sz w:val="24"/>
          <w:lang w:val="en-US" w:eastAsia="zh-CN"/>
        </w:rPr>
        <w:t>、多证融合信任引擎</w:t>
      </w:r>
      <w:r>
        <w:rPr>
          <w:rFonts w:hint="eastAsia" w:ascii="华文楷体" w:hAnsi="华文楷体" w:eastAsia="华文楷体" w:cs="宋体-WinCharSetFFFF-H"/>
          <w:kern w:val="0"/>
          <w:sz w:val="24"/>
          <w:lang w:eastAsia="zh-CN"/>
        </w:rPr>
        <w:t>（</w:t>
      </w:r>
      <w:r>
        <w:rPr>
          <w:rFonts w:hint="eastAsia" w:ascii="华文楷体" w:hAnsi="华文楷体" w:eastAsia="华文楷体" w:cs="宋体-WinCharSetFFFF-H"/>
          <w:kern w:val="0"/>
          <w:sz w:val="24"/>
          <w:lang w:val="en-US" w:eastAsia="zh-CN"/>
        </w:rPr>
        <w:t>在右下角托盘处</w:t>
      </w:r>
      <w:r>
        <w:rPr>
          <w:rFonts w:hint="eastAsia" w:ascii="华文楷体" w:hAnsi="华文楷体" w:eastAsia="华文楷体" w:cs="宋体-WinCharSetFFFF-H"/>
          <w:kern w:val="0"/>
          <w:sz w:val="24"/>
          <w:lang w:eastAsia="zh-CN"/>
        </w:rPr>
        <w:t>）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、</w:t>
      </w:r>
      <w:r>
        <w:rPr>
          <w:rFonts w:hint="eastAsia" w:ascii="华文楷体" w:hAnsi="华文楷体" w:eastAsia="华文楷体" w:cs="宋体-WinCharSetFFFF-H"/>
          <w:kern w:val="0"/>
          <w:sz w:val="24"/>
          <w:lang w:val="en-US" w:eastAsia="zh-CN"/>
        </w:rPr>
        <w:t>检测工具（厦门百城版）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的安装。</w:t>
      </w:r>
      <w:r>
        <w:rPr>
          <w:rFonts w:hint="eastAsia" w:ascii="华文楷体" w:hAnsi="华文楷体" w:eastAsia="华文楷体" w:cs="宋体-WinCharSetFFFF-H"/>
          <w:kern w:val="0"/>
          <w:sz w:val="24"/>
          <w:lang w:eastAsia="zh-CN"/>
        </w:rPr>
        <w:t>（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4"/>
          <w:lang w:val="en-US" w:eastAsia="zh-CN"/>
        </w:rPr>
        <w:t>若签章工具不能正常显示图标，请切换磁盘重新安装驱动工具</w:t>
      </w:r>
      <w:r>
        <w:rPr>
          <w:rFonts w:hint="eastAsia" w:ascii="华文楷体" w:hAnsi="华文楷体" w:eastAsia="华文楷体" w:cs="宋体-WinCharSetFFFF-H"/>
          <w:kern w:val="0"/>
          <w:sz w:val="24"/>
          <w:lang w:eastAsia="zh-CN"/>
        </w:rPr>
        <w:t>）</w:t>
      </w:r>
    </w:p>
    <w:p>
      <w:pPr>
        <w:bidi w:val="0"/>
      </w:pPr>
      <w:r>
        <w:drawing>
          <wp:inline distT="0" distB="0" distL="114300" distR="114300">
            <wp:extent cx="1422400" cy="869950"/>
            <wp:effectExtent l="0" t="0" r="0" b="6350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" cy="203200"/>
            <wp:effectExtent l="0" t="0" r="0" b="0"/>
            <wp:docPr id="2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26"/>
    <w:bookmarkEnd w:id="27"/>
    <w:bookmarkEnd w:id="28"/>
    <w:bookmarkEnd w:id="29"/>
    <w:bookmarkEnd w:id="30"/>
    <w:bookmarkEnd w:id="31"/>
    <w:bookmarkEnd w:id="32"/>
    <w:bookmarkEnd w:id="33"/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eastAsia" w:ascii="Times New Roman" w:hAnsi="Times New Roman" w:eastAsia="宋体"/>
        </w:rPr>
      </w:pPr>
      <w:bookmarkStart w:id="34" w:name="_Toc346183632"/>
      <w:bookmarkStart w:id="35" w:name="_Toc7014"/>
      <w:bookmarkStart w:id="36" w:name="_Toc404764411"/>
      <w:bookmarkStart w:id="37" w:name="_Toc27212"/>
      <w:bookmarkStart w:id="38" w:name="_Toc404765187"/>
      <w:bookmarkStart w:id="39" w:name="_Toc404243492"/>
      <w:bookmarkStart w:id="40" w:name="_Toc8419"/>
      <w:bookmarkStart w:id="41" w:name="_Toc346701614"/>
      <w:bookmarkStart w:id="42" w:name="_Toc7222"/>
      <w:bookmarkStart w:id="43" w:name="_Toc19345"/>
      <w:r>
        <w:rPr>
          <w:rFonts w:hint="eastAsia" w:ascii="Times New Roman" w:hAnsi="Times New Roman" w:eastAsia="宋体"/>
        </w:rPr>
        <w:t>修改口令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bidi w:val="0"/>
        <w:rPr>
          <w:rFonts w:hint="eastAsia"/>
        </w:rPr>
      </w:pPr>
      <w:r>
        <w:rPr>
          <w:rFonts w:hint="eastAsia"/>
        </w:rPr>
        <w:t>口令相当于证书Key的密码，需要妥善保管，新发出的证书Key的密码是111111（6个1），为了您的证书的安全，请立即修改密码，如下图：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3098800" cy="2216150"/>
            <wp:effectExtent l="0" t="0" r="0" b="6350"/>
            <wp:docPr id="2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eastAsia" w:ascii="Times New Roman" w:hAnsi="Times New Roman" w:eastAsia="宋体"/>
        </w:rPr>
      </w:pPr>
      <w:bookmarkStart w:id="44" w:name="_Toc908"/>
      <w:bookmarkStart w:id="45" w:name="_Toc404243493"/>
      <w:bookmarkStart w:id="46" w:name="_Toc404764412"/>
      <w:bookmarkStart w:id="47" w:name="_Toc6312"/>
      <w:bookmarkStart w:id="48" w:name="_Toc2233"/>
      <w:bookmarkStart w:id="49" w:name="_Toc346701615"/>
      <w:bookmarkStart w:id="50" w:name="_Toc22240"/>
      <w:bookmarkStart w:id="51" w:name="_Toc404765188"/>
      <w:bookmarkStart w:id="52" w:name="_Toc346183633"/>
      <w:bookmarkStart w:id="53" w:name="_Toc6629"/>
      <w:r>
        <w:rPr>
          <w:rFonts w:hint="eastAsia" w:ascii="Times New Roman" w:hAnsi="Times New Roman" w:eastAsia="宋体"/>
          <w:lang w:val="en-US" w:eastAsia="zh-CN"/>
        </w:rPr>
        <w:t>启动</w:t>
      </w:r>
      <w:r>
        <w:rPr>
          <w:rFonts w:hint="eastAsia" w:ascii="Times New Roman" w:hAnsi="Times New Roman" w:eastAsia="宋体"/>
        </w:rPr>
        <w:t>检测工具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用户可以点击桌面上的新点检测工具图标来启动检测工具。如下图：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711200" cy="889000"/>
            <wp:effectExtent l="0" t="0" r="0" b="0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autoSpaceDE w:val="0"/>
        <w:autoSpaceDN w:val="0"/>
        <w:adjustRightInd w:val="0"/>
        <w:ind w:firstLine="480"/>
        <w:rPr>
          <w:rFonts w:hint="eastAsia" w:ascii="思源宋体 CN Light" w:hAnsi="思源宋体 CN Light" w:eastAsia="思源宋体 CN Light" w:cs="思源宋体 CN Light"/>
          <w:sz w:val="24"/>
        </w:rPr>
      </w:pPr>
      <w:r>
        <w:rPr>
          <w:rFonts w:hint="eastAsia" w:ascii="思源宋体 CN Light" w:hAnsi="思源宋体 CN Light" w:eastAsia="思源宋体 CN Light" w:cs="思源宋体 CN Light"/>
          <w:sz w:val="24"/>
        </w:rPr>
        <w:t>点击一键检测：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5100" cy="3308985"/>
            <wp:effectExtent l="0" t="0" r="0" b="5715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>
      <w:pPr>
        <w:autoSpaceDE w:val="0"/>
        <w:autoSpaceDN w:val="0"/>
        <w:adjustRightInd w:val="0"/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45100" cy="3308985"/>
            <wp:effectExtent l="0" t="0" r="0" b="5715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>
      <w:pPr>
        <w:bidi w:val="0"/>
        <w:rPr>
          <w:rFonts w:hint="eastAsia"/>
        </w:rPr>
      </w:pPr>
      <w:r>
        <w:rPr>
          <w:rFonts w:hint="eastAsia"/>
        </w:rPr>
        <w:t>“系统检测”，该页面主要是进行可信任站点的设置。如果显示都是打钩，就证明已经设置成功。</w:t>
      </w:r>
    </w:p>
    <w:p>
      <w:pPr>
        <w:bidi w:val="0"/>
        <w:rPr>
          <w:rFonts w:hint="eastAsia"/>
        </w:rPr>
      </w:pPr>
      <w:r>
        <w:rPr>
          <w:rFonts w:hint="eastAsia"/>
        </w:rPr>
        <w:t>“控件检测”，如果以上都是打勾，系统所需要控件都安装完毕了。其中证书Key 驱动需要把您的证书Key 插好以后才可以检测出来。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rPr>
          <w:rFonts w:hint="eastAsia"/>
        </w:rPr>
        <w:t>“签章显示”，此页面是用于测试您的证书Key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szCs w:val="21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>
      <w:pPr>
        <w:autoSpaceDE w:val="0"/>
        <w:autoSpaceDN w:val="0"/>
        <w:adjustRightInd w:val="0"/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 w:val="24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eastAsia" w:ascii="Times New Roman" w:hAnsi="Times New Roman" w:eastAsia="宋体"/>
        </w:rPr>
      </w:pPr>
      <w:bookmarkStart w:id="54" w:name="_Toc7666"/>
      <w:bookmarkStart w:id="55" w:name="_Toc404243499"/>
      <w:bookmarkStart w:id="56" w:name="_Toc28229"/>
      <w:bookmarkStart w:id="57" w:name="_Toc404765194"/>
      <w:bookmarkStart w:id="58" w:name="_Toc346183639"/>
      <w:bookmarkStart w:id="59" w:name="_Toc346701621"/>
      <w:bookmarkStart w:id="60" w:name="_Toc1111"/>
      <w:bookmarkStart w:id="61" w:name="_Toc404764418"/>
      <w:bookmarkStart w:id="62" w:name="_Toc12312"/>
      <w:bookmarkStart w:id="63" w:name="_Toc21866"/>
      <w:r>
        <w:rPr>
          <w:rFonts w:hint="eastAsia" w:ascii="Times New Roman" w:hAnsi="Times New Roman" w:eastAsia="宋体"/>
        </w:rPr>
        <w:t>浏览器配置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4" w:name="_Toc346183640"/>
      <w:bookmarkStart w:id="65" w:name="_Toc29832"/>
      <w:bookmarkStart w:id="66" w:name="_Toc26319"/>
      <w:bookmarkStart w:id="67" w:name="_Toc404765195"/>
      <w:bookmarkStart w:id="68" w:name="_Toc346701622"/>
      <w:bookmarkStart w:id="69" w:name="_Toc24190"/>
      <w:bookmarkStart w:id="70" w:name="_Toc404764419"/>
      <w:bookmarkStart w:id="71" w:name="_Toc40424350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72" w:name="_Toc12808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>请使用IE9版本以上的浏览器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9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1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540250" cy="3994150"/>
            <wp:effectExtent l="0" t="0" r="6350" b="6350"/>
            <wp:docPr id="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27.150.175.61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，然后点击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3794125"/>
            <wp:effectExtent l="0" t="0" r="9525" b="3175"/>
            <wp:docPr id="1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528695"/>
            <wp:effectExtent l="0" t="0" r="6350" b="1905"/>
            <wp:docPr id="1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2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“常规”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</w:pPr>
      <w:r>
        <w:drawing>
          <wp:inline distT="0" distB="0" distL="114300" distR="114300">
            <wp:extent cx="3096260" cy="4411980"/>
            <wp:effectExtent l="0" t="0" r="2540" b="7620"/>
            <wp:docPr id="2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在“常规”选项卡中选择“设置”，弹出“网站数据设置”弹窗，在弹窗中选择“每次访问网页时”，点击【确定】，完成浏览器配置。如下图：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3677920"/>
            <wp:effectExtent l="0" t="0" r="5080" b="5080"/>
            <wp:docPr id="2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404764420"/>
      <w:bookmarkStart w:id="74" w:name="_Toc30821"/>
      <w:bookmarkStart w:id="75" w:name="_Toc346701623"/>
      <w:bookmarkStart w:id="76" w:name="_Toc404243501"/>
      <w:bookmarkStart w:id="77" w:name="_Toc404765196"/>
      <w:bookmarkStart w:id="78" w:name="_Toc346183641"/>
      <w:bookmarkStart w:id="79" w:name="_Toc6007"/>
      <w:bookmarkStart w:id="80" w:name="_Toc26454"/>
      <w:bookmarkStart w:id="81" w:name="_Toc9879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2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17598"/>
      <w:bookmarkStart w:id="83" w:name="_Toc18621"/>
      <w:bookmarkStart w:id="84" w:name="_Toc1686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兼容性视图设置</w:t>
      </w:r>
      <w:bookmarkEnd w:id="82"/>
      <w:bookmarkEnd w:id="83"/>
      <w:bookmarkEnd w:id="84"/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兼容性视图设置，添加访问平台的地址。如下图：</w:t>
      </w:r>
    </w:p>
    <w:p>
      <w:r>
        <w:drawing>
          <wp:inline distT="0" distB="0" distL="114300" distR="114300">
            <wp:extent cx="4540250" cy="5403850"/>
            <wp:effectExtent l="0" t="0" r="6350" b="6350"/>
            <wp:docPr id="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default"/>
          <w:lang w:val="en-US" w:eastAsia="zh-CN"/>
        </w:rPr>
      </w:pPr>
      <w:bookmarkStart w:id="85" w:name="_Toc9933"/>
      <w:bookmarkStart w:id="86" w:name="_Toc19261"/>
      <w:bookmarkStart w:id="87" w:name="_Toc3188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控制面板设置</w:t>
      </w:r>
      <w:bookmarkEnd w:id="85"/>
      <w:bookmarkEnd w:id="86"/>
      <w:bookmarkEnd w:id="87"/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控制面板-操作中心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或安全与维护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z w:val="24"/>
          <w:szCs w:val="24"/>
        </w:rPr>
        <w:t>-更改用户控制设置-从永不通知设置为-始终通知或者每次打开提醒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设置完请重启电脑。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控制面板打开后点击右上角类别切换为大图标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786630" cy="1462405"/>
            <wp:effectExtent l="0" t="0" r="1270" b="10795"/>
            <wp:docPr id="2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rcRect b="3127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找到操作中心（或安全与维护）点击打开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547870" cy="2106930"/>
            <wp:effectExtent l="0" t="0" r="11430" b="1270"/>
            <wp:docPr id="2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找到左侧更改用户控制设置，将进度条拉到最高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cstheme="minorBidi"/>
          <w:b w:val="0"/>
          <w:bCs w:val="0"/>
          <w:kern w:val="2"/>
          <w:sz w:val="28"/>
          <w:szCs w:val="32"/>
          <w:lang w:val="en-US" w:eastAsia="zh-CN" w:bidi="ar-SA"/>
        </w:rPr>
        <w:drawing>
          <wp:inline distT="0" distB="0" distL="114300" distR="114300">
            <wp:extent cx="5071110" cy="3073400"/>
            <wp:effectExtent l="0" t="0" r="8890" b="0"/>
            <wp:docPr id="239" name="图片 239" descr="b8ef792844d288aca3733766090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b8ef792844d288aca3733766090f0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CA证书驱动及浏览器环境设置完毕。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88" w:name="_Toc168"/>
      <w:bookmarkStart w:id="89" w:name="_Toc2330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招标代理注册</w:t>
      </w:r>
      <w:bookmarkEnd w:id="88"/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default" w:ascii="Times New Roman" w:hAnsi="Times New Roman" w:eastAsia="宋体"/>
          <w:lang w:val="en-US" w:eastAsia="zh-CN"/>
        </w:rPr>
      </w:pPr>
      <w:bookmarkStart w:id="90" w:name="_Toc2825"/>
      <w:r>
        <w:rPr>
          <w:rFonts w:hint="eastAsia" w:ascii="Times New Roman" w:hAnsi="Times New Roman" w:eastAsia="宋体"/>
          <w:lang w:val="en-US" w:eastAsia="zh-CN"/>
        </w:rPr>
        <w:t>招标代理注册</w:t>
      </w:r>
      <w:bookmarkEnd w:id="90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在百城e采电子交易平台的登陆页面点击“免费注册”按钮（位于“立即登录”下方）进入新用户注册页面；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在新用户注册页面填写单位基本信息，其中带有“*”的选项为必填，勾选用户类型为“招标代理”，点击“立即注册”；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注册成功后点击“立即登录”，阅读隐私协议并点击同意，跳转至单位信息管理页面，点击“修改信息”进行单位信息维护；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在基本信息编辑页面填写相关内容，其中带有“*”的选项为必填，填写完成后点击“电子件管理”上传相关文档附件，然后点击“修改保存”→“下一步”→“提交信息”，即可提交审核。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提交信息后，页面显示“待验证”标记，等待审核完成转变为“验证通过”即可。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bookmarkEnd w:id="89"/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91" w:name="_Toc20182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电子标全流程操作（以公开招标为例）</w:t>
      </w:r>
      <w:bookmarkEnd w:id="91"/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eastAsia" w:ascii="Times New Roman" w:hAnsi="Times New Roman" w:eastAsia="宋体"/>
          <w:lang w:val="en-US" w:eastAsia="zh-CN"/>
        </w:rPr>
      </w:pPr>
      <w:bookmarkStart w:id="92" w:name="_Toc9487"/>
      <w:r>
        <w:rPr>
          <w:rFonts w:hint="eastAsia" w:ascii="Times New Roman" w:hAnsi="Times New Roman" w:eastAsia="宋体"/>
          <w:lang w:val="en-US" w:eastAsia="zh-CN"/>
        </w:rPr>
        <w:t>采购立项管理</w:t>
      </w:r>
      <w:bookmarkEnd w:id="92"/>
    </w:p>
    <w:p>
      <w:pPr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lang w:val="en-US" w:eastAsia="zh-CN"/>
        </w:rPr>
        <w:t>采购立项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lang w:val="en-US" w:eastAsia="zh-CN"/>
        </w:rPr>
        <w:tab/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1、招标代理登录百城e采电子交易平台系统后，</w:t>
      </w:r>
      <w:r>
        <w:rPr>
          <w:rFonts w:hint="eastAsia"/>
        </w:rPr>
        <w:t>首页拖动鼠标至“</w:t>
      </w:r>
      <w:r>
        <w:rPr>
          <w:rFonts w:hint="eastAsia"/>
          <w:lang w:val="en-US" w:eastAsia="zh-CN"/>
        </w:rPr>
        <w:t>采购立项管理</w:t>
      </w:r>
      <w:r>
        <w:rPr>
          <w:rFonts w:hint="eastAsia"/>
        </w:rPr>
        <w:t>”按钮，选择“</w:t>
      </w:r>
      <w:r>
        <w:rPr>
          <w:rFonts w:hint="eastAsia"/>
          <w:lang w:val="en-US" w:eastAsia="zh-CN"/>
        </w:rPr>
        <w:t>采购立项管理—招标采购立项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点击新增项目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新建增</w:t>
      </w:r>
      <w:r>
        <w:rPr>
          <w:rFonts w:hint="eastAsia"/>
        </w:rPr>
        <w:t>目列表页面。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42560" cy="2299335"/>
            <wp:effectExtent l="0" t="0" r="2540" b="12065"/>
            <wp:docPr id="9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填写页面中项目信息、招标项目信息、采购人/采购代理信息等（带*号的为必填项）。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0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点击“新增标段（包）”，进入标段包编辑界面。填写页面信息。在采购方式中下拉进行选择采购方式。如下图：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0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 Light" w:hAnsi="思源宋体 CN Light" w:cs="思源宋体 CN Light"/>
          <w:color w:val="FF0000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注意：目前采购方式共有公开招标、邀请招标、询比采购、竞价采购、单一来源、竞争性谈判、竞争性磋商</w:t>
      </w:r>
      <w:r>
        <w:rPr>
          <w:rFonts w:hint="eastAsia" w:ascii="思源宋体 CN Light" w:hAnsi="思源宋体 CN Light" w:cs="思源宋体 CN Light"/>
          <w:color w:val="FF0000"/>
          <w:lang w:val="en-US" w:eastAsia="zh-CN"/>
        </w:rPr>
        <w:t>7</w:t>
      </w: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种</w:t>
      </w:r>
      <w:r>
        <w:rPr>
          <w:rFonts w:hint="eastAsia" w:ascii="思源宋体 CN Light" w:hAnsi="思源宋体 CN Light" w:cs="思源宋体 CN Light"/>
          <w:color w:val="FF0000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jc w:val="both"/>
        <w:textAlignment w:val="auto"/>
        <w:rPr>
          <w:rFonts w:hint="default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本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次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示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例为公开招标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电子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标，采购方式选择“</w:t>
      </w:r>
      <w:r>
        <w:rPr>
          <w:rFonts w:hint="eastAsia" w:ascii="Times New Roman" w:hAnsi="Times New Roman" w:eastAsia="仿宋" w:cs="Times New Roman"/>
          <w:color w:val="FF0000"/>
          <w:kern w:val="2"/>
          <w:sz w:val="24"/>
          <w:szCs w:val="24"/>
          <w:lang w:val="en-US" w:eastAsia="zh-CN" w:bidi="ar-SA"/>
        </w:rPr>
        <w:t>公开招标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是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否线上采购选择“</w:t>
      </w:r>
      <w:r>
        <w:rPr>
          <w:rFonts w:hint="eastAsia" w:ascii="Times New Roman" w:hAnsi="Times New Roman" w:eastAsia="仿宋" w:cs="Times New Roman"/>
          <w:color w:val="FF0000"/>
          <w:kern w:val="2"/>
          <w:sz w:val="24"/>
          <w:szCs w:val="24"/>
          <w:lang w:val="en-US" w:eastAsia="zh-CN" w:bidi="ar-SA"/>
        </w:rPr>
        <w:t>是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”，资审方式选择“</w:t>
      </w:r>
      <w:r>
        <w:rPr>
          <w:rFonts w:hint="eastAsia" w:ascii="Times New Roman" w:hAnsi="Times New Roman" w:eastAsia="仿宋" w:cs="Times New Roman"/>
          <w:color w:val="FF0000"/>
          <w:kern w:val="2"/>
          <w:sz w:val="24"/>
          <w:szCs w:val="24"/>
          <w:lang w:val="en-US" w:eastAsia="zh-CN" w:bidi="ar-SA"/>
        </w:rPr>
        <w:t>资格后审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7480" cy="1689735"/>
            <wp:effectExtent l="0" t="0" r="762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填写完成后，点击“修改保存”完成标段包新增。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>
      <w:pPr>
        <w:numPr>
          <w:ilvl w:val="0"/>
          <w:numId w:val="5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在附件信息，点击后方“上传”按钮，可上传相关电子件</w:t>
      </w:r>
      <w:r>
        <w:rPr>
          <w:rFonts w:hint="eastAsia"/>
        </w:rPr>
        <w:t>。如下图：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2560" cy="1176655"/>
            <wp:effectExtent l="0" t="0" r="2540" b="4445"/>
            <wp:docPr id="10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填写完信息，点击“提交信息”按钮，弹出意见框，输入意见后，点击“确认提交”按钮，项目</w:t>
      </w:r>
      <w:r>
        <w:rPr>
          <w:rFonts w:hint="eastAsia"/>
          <w:lang w:val="en-US" w:eastAsia="zh-CN"/>
        </w:rPr>
        <w:t>立项</w:t>
      </w:r>
      <w:r>
        <w:rPr>
          <w:rFonts w:hint="eastAsia"/>
        </w:rPr>
        <w:t>完成，</w:t>
      </w:r>
      <w:r>
        <w:rPr>
          <w:rFonts w:hint="eastAsia"/>
          <w:lang w:val="en-US" w:eastAsia="zh-CN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0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在项</w:t>
      </w:r>
      <w:r>
        <w:rPr>
          <w:rFonts w:hint="eastAsia"/>
          <w:lang w:val="en-US" w:eastAsia="zh-CN"/>
        </w:rPr>
        <w:t>目</w:t>
      </w:r>
      <w:r>
        <w:rPr>
          <w:rFonts w:hint="eastAsia"/>
        </w:rPr>
        <w:t>列表页面上，</w:t>
      </w:r>
      <w:r>
        <w:rPr>
          <w:rFonts w:hint="eastAsia"/>
          <w:lang w:val="en-US" w:eastAsia="zh-CN"/>
        </w:rPr>
        <w:t>可以对编辑中的项目进行删除或修改。勾选“编辑中”，点击“删除项目”，可以删除项目。</w:t>
      </w:r>
      <w:r>
        <w:rPr>
          <w:rFonts w:hint="eastAsia"/>
        </w:rPr>
        <w:t>点击“编辑中”状态中项目的“操作”按钮，可修改该项目信息。如下图：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0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注：只有“编辑中”状态下的项目才允许</w:t>
      </w: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删除或</w:t>
      </w:r>
      <w:r>
        <w:rPr>
          <w:rFonts w:hint="eastAsia" w:ascii="思源宋体 CN Light" w:hAnsi="思源宋体 CN Light" w:eastAsia="思源宋体 CN Light" w:cs="思源宋体 CN Light"/>
          <w:color w:val="FF0000"/>
        </w:rPr>
        <w:t>修改。</w:t>
      </w:r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93" w:name="_Toc7731"/>
      <w:bookmarkStart w:id="94" w:name="_Toc261428518"/>
      <w:bookmarkStart w:id="95" w:name="_Toc225152732"/>
      <w:r>
        <w:rPr>
          <w:rFonts w:hint="eastAsia" w:ascii="Times New Roman" w:hAnsi="Times New Roman" w:eastAsia="宋体"/>
          <w:lang w:val="en-US" w:eastAsia="zh-CN"/>
        </w:rPr>
        <w:t>招标采购业务</w:t>
      </w:r>
      <w:bookmarkEnd w:id="93"/>
      <w:r>
        <w:rPr>
          <w:rFonts w:hint="eastAsia"/>
          <w:lang w:val="en-US" w:eastAsia="zh-CN"/>
        </w:rPr>
        <w:t xml:space="preserve"> </w:t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96" w:name="_Toc23882"/>
      <w:bookmarkStart w:id="97" w:name="_Toc26331"/>
      <w:bookmarkStart w:id="98" w:name="_Toc1040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</w:t>
      </w:r>
      <w:bookmarkEnd w:id="96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项目立项审核通过。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发标-开评标场地预约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新增场地预约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</w:t>
      </w:r>
      <w:r>
        <w:rPr>
          <w:rFonts w:hint="eastAsia" w:ascii="仿宋" w:hAnsi="仿宋" w:cs="仿宋"/>
          <w:lang w:val="en-US" w:eastAsia="zh-CN"/>
        </w:rPr>
        <w:t>该项目的开标场地评标场地分别进行预约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pStyle w:val="13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填写预约开标场地、预约评标场地的基本信息，并可选择自定义场地；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或者填写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开评标室并确认好时间后，点击“提交信息”按钮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提交预约后需要确定信息，点击开评标场地预约后找到相关项目，点击操作那个按钮，点击进去后点击“已确认”即审核通过，点击“退回”则退回重新选择地点。</w:t>
      </w:r>
    </w:p>
    <w:p>
      <w:pPr>
        <w:pStyle w:val="2"/>
        <w:ind w:left="0" w:leftChars="0" w:firstLine="0" w:firstLineChars="0"/>
        <w:jc w:val="righ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591175" cy="748030"/>
            <wp:effectExtent l="0" t="0" r="9525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right"/>
        <w:rPr>
          <w:rFonts w:hint="eastAsia"/>
          <w:lang w:val="en-US" w:eastAsia="zh-CN"/>
        </w:rPr>
      </w:pPr>
      <w:r>
        <w:drawing>
          <wp:inline distT="0" distB="0" distL="114300" distR="114300">
            <wp:extent cx="5483225" cy="725805"/>
            <wp:effectExtent l="0" t="0" r="3175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99" w:name="_Toc170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开评标场地变更</w:t>
      </w:r>
      <w:bookmarkEnd w:id="9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对已经预约的开评标场地进行变更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在“发标-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开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评标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场地变更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”菜单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点击“新增开评标场地变更”按钮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已预约的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开评标场地进行变更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查看原开标、评标的预约信息，填写变更原因；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填写变更后的开标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场地</w:t>
      </w:r>
      <w:r>
        <w:rPr>
          <w:rFonts w:hint="eastAsia" w:ascii="仿宋" w:hAnsi="仿宋" w:cs="仿宋"/>
          <w:sz w:val="24"/>
          <w:szCs w:val="24"/>
          <w:lang w:val="en-US" w:eastAsia="zh-CN"/>
        </w:rPr>
        <w:t>、评标场地预约信息，并提交审核即可；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1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0" w:name="_Toc25612"/>
      <w:bookmarkStart w:id="101" w:name="_Toc2068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招标文件编制</w:t>
      </w:r>
      <w:bookmarkEnd w:id="100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项目立项审核通过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方式选择了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标段包。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首页拖动鼠标至“招标采购业务”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对应的“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”采购方式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在“发标”菜单下点击“招标文件”新增招标文件；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核对标段（包）信息是否有误，并确定选择标段（包）；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保证金及工本费信息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栏目的具体内容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其中带*号的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必填项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根据项目实际情况进行填写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="仿宋" w:hAnsi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页面基本信息编辑完毕后</w:t>
      </w:r>
      <w:r>
        <w:rPr>
          <w:rFonts w:hint="eastAsia" w:ascii="仿宋" w:hAnsi="仿宋" w:eastAsia="仿宋" w:cs="仿宋"/>
          <w:lang w:val="en-US" w:eastAsia="zh-CN"/>
        </w:rPr>
        <w:t>后，</w:t>
      </w:r>
      <w:r>
        <w:rPr>
          <w:rFonts w:hint="eastAsia" w:ascii="仿宋" w:hAnsi="仿宋" w:cs="仿宋"/>
          <w:lang w:val="en-US" w:eastAsia="zh-CN"/>
        </w:rPr>
        <w:t>点击</w:t>
      </w:r>
      <w:r>
        <w:rPr>
          <w:rFonts w:hint="eastAsia" w:ascii="仿宋" w:hAnsi="仿宋" w:eastAsia="仿宋" w:cs="仿宋"/>
          <w:lang w:val="en-US" w:eastAsia="zh-CN"/>
        </w:rPr>
        <w:t>“</w:t>
      </w:r>
      <w:r>
        <w:rPr>
          <w:rFonts w:hint="eastAsia" w:ascii="仿宋" w:hAnsi="仿宋" w:cs="仿宋"/>
          <w:lang w:val="en-US" w:eastAsia="zh-CN"/>
        </w:rPr>
        <w:t>修改保存</w:t>
      </w:r>
      <w:r>
        <w:rPr>
          <w:rFonts w:hint="eastAsia" w:ascii="仿宋" w:hAnsi="仿宋" w:eastAsia="仿宋" w:cs="仿宋"/>
          <w:lang w:val="en-US" w:eastAsia="zh-CN"/>
        </w:rPr>
        <w:t>”</w:t>
      </w:r>
      <w:r>
        <w:rPr>
          <w:rFonts w:hint="eastAsia" w:ascii="仿宋" w:hAnsi="仿宋" w:cs="仿宋"/>
          <w:lang w:val="en-US" w:eastAsia="zh-CN"/>
        </w:rPr>
        <w:t>然后点击“制作”按钮开始制作招标文件</w:t>
      </w:r>
      <w:r>
        <w:rPr>
          <w:rFonts w:hint="eastAsia" w:ascii="仿宋" w:hAnsi="仿宋" w:eastAsia="仿宋" w:cs="仿宋"/>
          <w:lang w:val="en-US" w:eastAsia="zh-CN"/>
        </w:rPr>
        <w:t>，</w:t>
      </w:r>
      <w:r>
        <w:rPr>
          <w:rFonts w:hint="eastAsia" w:ascii="仿宋" w:hAnsi="仿宋" w:cs="仿宋"/>
          <w:lang w:val="en-US" w:eastAsia="zh-CN"/>
        </w:rPr>
        <w:t>并选择相应的范本；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2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在招标文件制作页面中，根据左侧菜单顺序依次操作完成文件制作；若有疑问可联系平台技术支持。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2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关闭文件制作页面，点击“附件信息”可以查阅下载已经制作完成的招标文件，然后点击“提交信息”等待审核即可。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42560" cy="1190625"/>
            <wp:effectExtent l="0" t="0" r="2540" b="3175"/>
            <wp:docPr id="1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2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400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2" w:name="_Toc24360"/>
      <w:bookmarkStart w:id="103" w:name="_Toc2228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bookmarkEnd w:id="102"/>
      <w:bookmarkEnd w:id="10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立项审核通过。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公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首页拖动鼠标至“招标采购业务”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对应的“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”采购方式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在“发标”菜单下点击“招标公告”新增招标公告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0" b="1905"/>
            <wp:docPr id="10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核对标段（包）信息是否有误，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并确定选择标段（包），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0" b="1905"/>
            <wp:docPr id="10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填写公告信息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联系方式等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栏目的具体内容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其中带*号的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必填项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根据项目实际情况进行填写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0" b="1905"/>
            <wp:docPr id="1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编辑完成后点击“修改保存”按钮，再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点击“附件信息”，再点击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后方的“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生成”按钮，可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生成招标公告电子件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0" b="1905"/>
            <wp:docPr id="1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163320"/>
            <wp:effectExtent l="0" t="0" r="0" b="10160"/>
            <wp:docPr id="11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完成后点击“提交审核”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确认提交并等待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审核即可。如下图：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0" b="1905"/>
            <wp:docPr id="1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保存修改后公告编辑预览里可以直接输入或修改发布的公告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和样式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。   </w:t>
      </w:r>
      <w:r>
        <w:drawing>
          <wp:inline distT="0" distB="0" distL="114300" distR="114300">
            <wp:extent cx="5461000" cy="1953260"/>
            <wp:effectExtent l="0" t="0" r="10160" b="1270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4" w:name="_Toc2187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澄清文件编制</w:t>
      </w:r>
      <w:bookmarkEnd w:id="101"/>
      <w:bookmarkEnd w:id="104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招标文件制作审核通过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编制招标澄清文件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发标-答疑澄清文件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新增答疑澄清文件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</w:t>
      </w:r>
      <w:r>
        <w:rPr>
          <w:rFonts w:hint="eastAsia" w:ascii="仿宋" w:hAnsi="仿宋" w:cs="仿宋"/>
          <w:lang w:val="en-US" w:eastAsia="zh-CN"/>
        </w:rPr>
        <w:t>招标文件</w:t>
      </w:r>
      <w:r>
        <w:rPr>
          <w:rFonts w:hint="eastAsia" w:ascii="仿宋" w:hAnsi="仿宋" w:eastAsia="仿宋" w:cs="仿宋"/>
        </w:rPr>
        <w:t>的</w:t>
      </w:r>
      <w:r>
        <w:rPr>
          <w:rFonts w:hint="eastAsia" w:ascii="仿宋" w:hAnsi="仿宋" w:cs="仿宋"/>
          <w:lang w:val="en-US" w:eastAsia="zh-CN"/>
        </w:rPr>
        <w:t>开标时间</w:t>
      </w:r>
      <w:r>
        <w:rPr>
          <w:rFonts w:hint="eastAsia" w:ascii="仿宋" w:hAnsi="仿宋" w:eastAsia="仿宋" w:cs="仿宋"/>
        </w:rPr>
        <w:t>以及</w:t>
      </w:r>
      <w:r>
        <w:rPr>
          <w:rFonts w:hint="eastAsia" w:ascii="仿宋" w:hAnsi="仿宋" w:cs="仿宋"/>
          <w:lang w:val="en-US" w:eastAsia="zh-CN"/>
        </w:rPr>
        <w:t>文件内容</w:t>
      </w:r>
      <w:r>
        <w:rPr>
          <w:rFonts w:hint="eastAsia" w:ascii="仿宋" w:hAnsi="仿宋" w:eastAsia="仿宋" w:cs="仿宋"/>
        </w:rPr>
        <w:t>进行变更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pStyle w:val="6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2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确认是否需要修改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时间，如果需要修改则填写下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时间。填写好澄清与修改内容后点击“修改”按钮制作澄清文件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澄清文件首先需要上传澄清说明文件，并且会将招标文件，开标一览标，评标办法投标文件组成的设置从招标文件中获取过来，根据实际情况进行修改生成澄清文件（操作同招标文件）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澄清文件制作完成后，在“附件信息”中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-SA"/>
        </w:rPr>
        <w:t>查看自动生成的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答疑澄清文件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-SA"/>
        </w:rPr>
        <w:t>，点击提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交审核即可</w:t>
      </w:r>
      <w:r>
        <w:rPr>
          <w:rFonts w:hint="eastAsia" w:ascii="仿宋" w:hAnsi="仿宋" w:cs="仿宋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38750" cy="1017905"/>
            <wp:effectExtent l="0" t="0" r="3810" b="3175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bookmarkEnd w:id="97"/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5" w:name="_Toc17278"/>
      <w:bookmarkStart w:id="106" w:name="_Toc10527"/>
      <w:bookmarkStart w:id="107" w:name="_Toc3096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变更公告</w:t>
      </w:r>
      <w:bookmarkEnd w:id="105"/>
      <w:bookmarkEnd w:id="106"/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前提条件：</w:t>
      </w:r>
      <w:r>
        <w:rPr>
          <w:rFonts w:hint="eastAsia" w:ascii="宋体" w:hAnsi="宋体" w:eastAsia="宋体" w:cs="宋体"/>
          <w:lang w:val="en-US" w:eastAsia="zh-CN"/>
        </w:rPr>
        <w:t>招标公告已发布</w:t>
      </w:r>
      <w:r>
        <w:rPr>
          <w:rFonts w:hint="eastAsia"/>
          <w:lang w:val="en-US" w:eastAsia="zh-CN"/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发布变更公告。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发标-变更公告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变更公告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可对招标公告的申请截止日期以及公告内容进行变更，变更完后点击修改保存并提交信息。若无需变更，则此项无需调整。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Chars="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1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Chars="0"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/>
        </w:rPr>
      </w:pPr>
    </w:p>
    <w:bookmarkEnd w:id="98"/>
    <w:bookmarkEnd w:id="107"/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8" w:name="_Toc1773"/>
      <w:bookmarkStart w:id="109" w:name="_Toc52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组建评标委员会</w:t>
      </w:r>
      <w:bookmarkEnd w:id="108"/>
      <w:bookmarkEnd w:id="10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公告文件已发布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申请抽取专家评委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在“发标-组建评标委员会”菜单中，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</w:t>
      </w:r>
      <w:r>
        <w:rPr>
          <w:rFonts w:hint="eastAsia" w:ascii="仿宋" w:hAnsi="仿宋" w:cs="仿宋"/>
          <w:sz w:val="24"/>
          <w:szCs w:val="24"/>
          <w:lang w:val="en-US" w:eastAsia="zh-CN"/>
        </w:rPr>
        <w:t>“新建项目”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按钮，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挑选对应的标段进行组建评标委员会；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选择组建方式为“自动抽取”并填写抽取信息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</w:t>
      </w:r>
      <w:r>
        <w:rPr>
          <w:rFonts w:hint="eastAsia" w:ascii="仿宋" w:hAnsi="仿宋" w:cs="仿宋"/>
          <w:sz w:val="24"/>
          <w:szCs w:val="24"/>
          <w:lang w:val="en-US" w:eastAsia="zh-CN"/>
        </w:rPr>
        <w:t>设置新增需要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回避的单位和专家（如需）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点击添加专业按钮，查找需要的专业选择，确认好后点击“确认选择”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输入该专业需要抽取的评委数并新增甲方评委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评委抽取信息填写完善后点击右上角“提交信息”并通知抽取评委</w:t>
      </w:r>
      <w:r>
        <w:rPr>
          <w:rFonts w:hint="eastAsia" w:ascii="仿宋" w:hAnsi="仿宋" w:cs="仿宋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6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10" w:name="_Toc31263"/>
      <w:bookmarkStart w:id="111" w:name="_Toc19924"/>
      <w:bookmarkStart w:id="112" w:name="_Toc27786"/>
      <w:bookmarkStart w:id="113" w:name="_Toc7184"/>
      <w:bookmarkStart w:id="114" w:name="_Toc423"/>
      <w:bookmarkStart w:id="115" w:name="_Toc485"/>
      <w:bookmarkStart w:id="116" w:name="_Toc261428533"/>
      <w:bookmarkStart w:id="117" w:name="_Toc14133"/>
      <w:bookmarkStart w:id="118" w:name="_Toc31618"/>
      <w:bookmarkStart w:id="119" w:name="_Toc701"/>
      <w:bookmarkStart w:id="120" w:name="_Toc7104"/>
      <w:bookmarkStart w:id="121" w:name="_Toc26037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开标情况</w:t>
      </w:r>
      <w:bookmarkEnd w:id="110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公告发布。</w:t>
      </w:r>
    </w:p>
    <w:p>
      <w:pPr>
        <w:ind w:firstLine="422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查看开标的结果，添加进入评标室的人员名单。</w:t>
      </w:r>
    </w:p>
    <w:p>
      <w:pP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1、</w:t>
      </w:r>
      <w:r>
        <w:rPr>
          <w:rFonts w:hint="eastAsia" w:ascii="仿宋" w:hAnsi="仿宋" w:cs="仿宋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在“开评标-开标情况”菜单中，点击“未开标”或“已开标”，点击相关标段的后面按钮，进入该标段。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74930</wp:posOffset>
            </wp:positionV>
            <wp:extent cx="4627245" cy="1534795"/>
            <wp:effectExtent l="0" t="0" r="8255" b="1905"/>
            <wp:wrapSquare wrapText="bothSides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49530</wp:posOffset>
            </wp:positionV>
            <wp:extent cx="4627245" cy="1534795"/>
            <wp:effectExtent l="0" t="0" r="8255" b="1905"/>
            <wp:wrapSquare wrapText="bothSides"/>
            <wp:docPr id="5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2、已开标的项目点击“获取开标数据”后，会自动生产入围的单位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名单，在下方可以点击新增进入评标标室的人员。</w:t>
      </w:r>
    </w:p>
    <w:p>
      <w:pPr>
        <w:pStyle w:val="2"/>
        <w:ind w:left="0" w:leftChars="0" w:firstLine="240" w:firstLineChars="100"/>
      </w:pPr>
      <w:r>
        <w:drawing>
          <wp:inline distT="0" distB="0" distL="114300" distR="114300">
            <wp:extent cx="5243195" cy="1936750"/>
            <wp:effectExtent l="0" t="0" r="1905" b="635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240" w:firstLineChars="100"/>
      </w:pPr>
      <w:r>
        <w:drawing>
          <wp:inline distT="0" distB="0" distL="114300" distR="114300">
            <wp:extent cx="5243830" cy="2113915"/>
            <wp:effectExtent l="0" t="0" r="1270" b="698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240" w:firstLineChars="100"/>
        <w:rPr>
          <w:rFonts w:hint="default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22" w:name="_Toc19777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评标情况</w:t>
      </w:r>
      <w:bookmarkEnd w:id="122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评标结束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获取评标结果，确认中标候选人。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1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选择“开评标-评标情况”菜单栏，选择对应的标段进入。</w:t>
      </w:r>
    </w:p>
    <w:p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11430</wp:posOffset>
            </wp:positionV>
            <wp:extent cx="5196840" cy="1450975"/>
            <wp:effectExtent l="0" t="0" r="10160" b="9525"/>
            <wp:wrapSquare wrapText="bothSides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48910" cy="2167890"/>
            <wp:effectExtent l="0" t="0" r="8890" b="381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点击“获取评标数据”就能获取相关评标结果。点击“修改保存”可以修改信息。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1925" cy="1985010"/>
            <wp:effectExtent l="0" t="0" r="3175" b="889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在评标结果页面中确认评标情况以及中标候选人，确认完毕后点击“评标结束”保存评标结果。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1925" cy="2181225"/>
            <wp:effectExtent l="0" t="0" r="3175" b="317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right="0" w:rightChars="0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4、评标报告页面可以查看评标相关附件，附件信息页面可以上传文件进行备案。</w:t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23" w:name="_Toc566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中标候选人公示</w:t>
      </w:r>
      <w:bookmarkEnd w:id="111"/>
      <w:bookmarkEnd w:id="112"/>
      <w:bookmarkEnd w:id="113"/>
      <w:bookmarkEnd w:id="114"/>
      <w:bookmarkEnd w:id="115"/>
      <w:bookmarkEnd w:id="123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开评标结束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填写中标候选人公示，提交审核。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定标—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中标候选人公示”菜单</w:t>
      </w: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点击“新增中标候选人公式”按钮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进入中标候选人公示页面，如下图：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="1680" w:rightChars="7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4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2、中标候选人公示页面，填写公示信息，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确认中标候选人列表排名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8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14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3、点击“附件信息”按钮，生成中标候选人公示电子件。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1236980"/>
            <wp:effectExtent l="0" t="0" r="2540" b="7620"/>
            <wp:docPr id="15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填写完信息，点击“提交信息”按钮，弹出意见框中输入意见，点击“确认提交”按钮，提交审核即可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right="1680" w:rightChars="7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139"/>
        <w:bidi w:val="0"/>
        <w:jc w:val="both"/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24" w:name="_Toc2257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中标结果</w:t>
      </w:r>
      <w:bookmarkEnd w:id="11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</w:t>
      </w:r>
      <w:bookmarkEnd w:id="117"/>
      <w:bookmarkEnd w:id="118"/>
      <w:bookmarkEnd w:id="119"/>
      <w:bookmarkEnd w:id="120"/>
      <w:bookmarkEnd w:id="121"/>
      <w:bookmarkEnd w:id="124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中标候选人公示审核通过</w:t>
      </w: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招标文件审核通过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确定中标单位并网上公示。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定标—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中标结果公告”菜单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点击“新增中标结果公告”按钮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进入中标结果公告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15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选择中标单位，点击选择新增中标单位。进入后点击中标单位名称后面的“检索”，会自动弹出前面挑选的三个候选单位，选择中标单位。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5100" cy="1784350"/>
            <wp:effectExtent l="0" t="0" r="0" b="635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105410</wp:posOffset>
            </wp:positionV>
            <wp:extent cx="5180330" cy="1967230"/>
            <wp:effectExtent l="0" t="0" r="1270" b="1270"/>
            <wp:wrapSquare wrapText="bothSides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3、中标结果公告页面，填写中标结果信息和公告信息，如下图：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15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200"/>
        <w:rPr>
          <w:rFonts w:hint="eastAsia" w:eastAsia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点击“附件信息”按钮，生成中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标结果公告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电子件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270000"/>
            <wp:effectExtent l="0" t="0" r="2540" b="0"/>
            <wp:docPr id="15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5、填写完信息，点击“提交信息”按钮，弹出意见框中输入意见，点击“确认提交”按钮，提交审核即可。</w:t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25" w:name="_Toc9574"/>
      <w:bookmarkStart w:id="126" w:name="_Toc20900"/>
      <w:bookmarkStart w:id="127" w:name="_Toc6207"/>
      <w:bookmarkStart w:id="128" w:name="_Toc25790"/>
      <w:bookmarkStart w:id="129" w:name="_Toc667"/>
      <w:bookmarkStart w:id="130" w:name="_Toc261428534"/>
      <w:bookmarkStart w:id="131" w:name="_Toc2945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中标通知书</w:t>
      </w:r>
      <w:bookmarkEnd w:id="125"/>
      <w:bookmarkEnd w:id="126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确定评标结果。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在“定标-中标通知书”菜单中，点击“新增中标通知书”按钮进入中标通知书编辑页面；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5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核实中标单位信息并点击生成通知书并签章如下图；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5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5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填写完信息，点击“提交信息”按钮，弹出意见框中输入意见，点击“确认提交”按钮，提交审核即可</w:t>
      </w:r>
      <w:r>
        <w:rPr>
          <w:rFonts w:hint="eastAsia"/>
          <w:lang w:val="en-US" w:eastAsia="zh-CN"/>
        </w:rPr>
        <w:t>。</w:t>
      </w:r>
    </w:p>
    <w:bookmarkEnd w:id="94"/>
    <w:bookmarkEnd w:id="95"/>
    <w:bookmarkEnd w:id="127"/>
    <w:bookmarkEnd w:id="128"/>
    <w:bookmarkEnd w:id="129"/>
    <w:bookmarkEnd w:id="130"/>
    <w:bookmarkEnd w:id="131"/>
    <w:p>
      <w:pPr>
        <w:pStyle w:val="139"/>
        <w:bidi w:val="0"/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32" w:name="_Toc9512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纸质标全流程操作（以公开招标为例）</w:t>
      </w:r>
      <w:bookmarkEnd w:id="132"/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default" w:ascii="Times New Roman" w:hAnsi="Times New Roman" w:eastAsia="宋体"/>
          <w:lang w:val="en-US" w:eastAsia="zh-CN"/>
        </w:rPr>
      </w:pPr>
      <w:bookmarkStart w:id="133" w:name="_Toc11847"/>
      <w:r>
        <w:rPr>
          <w:rFonts w:hint="eastAsia" w:ascii="Times New Roman" w:hAnsi="Times New Roman" w:eastAsia="宋体"/>
          <w:lang w:val="en-US" w:eastAsia="zh-CN"/>
        </w:rPr>
        <w:t>采购立项管理</w:t>
      </w:r>
      <w:bookmarkEnd w:id="133"/>
    </w:p>
    <w:p>
      <w:pPr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lang w:val="en-US" w:eastAsia="zh-CN"/>
        </w:rPr>
        <w:t>采购立项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lang w:val="en-US" w:eastAsia="zh-CN"/>
        </w:rPr>
        <w:tab/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lang w:val="en-US" w:eastAsia="zh-CN"/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1、招标代理登录百城e采电子交易平台系统后，</w:t>
      </w:r>
      <w:r>
        <w:rPr>
          <w:rFonts w:hint="eastAsia"/>
        </w:rPr>
        <w:t>首页拖动鼠标至“</w:t>
      </w:r>
      <w:r>
        <w:rPr>
          <w:rFonts w:hint="eastAsia"/>
          <w:lang w:val="en-US" w:eastAsia="zh-CN"/>
        </w:rPr>
        <w:t>采购立项管理</w:t>
      </w:r>
      <w:r>
        <w:rPr>
          <w:rFonts w:hint="eastAsia"/>
        </w:rPr>
        <w:t>”按钮，选择“</w:t>
      </w:r>
      <w:r>
        <w:rPr>
          <w:rFonts w:hint="eastAsia"/>
          <w:lang w:val="en-US" w:eastAsia="zh-CN"/>
        </w:rPr>
        <w:t>采购立项管理—招标采购立项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点击新增项目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新建增</w:t>
      </w:r>
      <w:r>
        <w:rPr>
          <w:rFonts w:hint="eastAsia"/>
        </w:rPr>
        <w:t>目列表页面。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42560" cy="2299335"/>
            <wp:effectExtent l="0" t="0" r="2540" b="1206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2、填写页面中项目信息、招标项目信息、采购人/采购代理信息等（带*号的为必填项）。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99335"/>
            <wp:effectExtent l="0" t="0" r="2540" b="1206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3、点击“新增标段（包）”，进入标段包编辑界面。填写页面信息。在采购方式中下拉进行选择采购方式。如下图：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 Light" w:hAnsi="思源宋体 CN Light" w:cs="思源宋体 CN Light"/>
          <w:color w:val="FF0000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注意：目前采购方式共有公开招标、邀请招标、询比采购、竞价采购、单一来源、竞争性谈判、竞争性磋商</w:t>
      </w:r>
      <w:r>
        <w:rPr>
          <w:rFonts w:hint="eastAsia" w:ascii="思源宋体 CN Light" w:hAnsi="思源宋体 CN Light" w:cs="思源宋体 CN Light"/>
          <w:color w:val="FF0000"/>
          <w:lang w:val="en-US" w:eastAsia="zh-CN"/>
        </w:rPr>
        <w:t>7</w:t>
      </w: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种</w:t>
      </w:r>
      <w:r>
        <w:rPr>
          <w:rFonts w:hint="eastAsia" w:ascii="思源宋体 CN Light" w:hAnsi="思源宋体 CN Light" w:cs="思源宋体 CN Light"/>
          <w:color w:val="FF0000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jc w:val="both"/>
        <w:textAlignment w:val="auto"/>
        <w:rPr>
          <w:rFonts w:hint="default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本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次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示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例为公开招标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纸质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标，采购方式选择“</w:t>
      </w:r>
      <w:r>
        <w:rPr>
          <w:rFonts w:hint="eastAsia" w:ascii="Times New Roman" w:hAnsi="Times New Roman" w:eastAsia="仿宋" w:cs="Times New Roman"/>
          <w:color w:val="FF0000"/>
          <w:kern w:val="2"/>
          <w:sz w:val="24"/>
          <w:szCs w:val="24"/>
          <w:lang w:val="en-US" w:eastAsia="zh-CN" w:bidi="ar-SA"/>
        </w:rPr>
        <w:t>公开招标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是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否线上采购选择“</w:t>
      </w:r>
      <w:r>
        <w:rPr>
          <w:rFonts w:hint="eastAsia" w:cs="Times New Roman"/>
          <w:color w:val="FF0000"/>
          <w:kern w:val="2"/>
          <w:sz w:val="24"/>
          <w:szCs w:val="24"/>
          <w:lang w:val="en-US" w:eastAsia="zh-CN" w:bidi="ar-SA"/>
        </w:rPr>
        <w:t>否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”，资审方式选择“</w:t>
      </w:r>
      <w:r>
        <w:rPr>
          <w:rFonts w:hint="eastAsia" w:ascii="Times New Roman" w:hAnsi="Times New Roman" w:eastAsia="仿宋" w:cs="Times New Roman"/>
          <w:color w:val="FF0000"/>
          <w:kern w:val="2"/>
          <w:sz w:val="24"/>
          <w:szCs w:val="24"/>
          <w:lang w:val="en-US" w:eastAsia="zh-CN" w:bidi="ar-SA"/>
        </w:rPr>
        <w:t>资格后审</w:t>
      </w:r>
      <w:r>
        <w:rPr>
          <w:rFonts w:hint="eastAsia" w:ascii="Times New Roman" w:hAnsi="Times New Roman" w:eastAsia="仿宋" w:cs="Times New Roman"/>
          <w:kern w:val="2"/>
          <w:sz w:val="24"/>
          <w:szCs w:val="24"/>
          <w:lang w:val="en-US" w:eastAsia="zh-CN" w:bidi="ar-SA"/>
        </w:rPr>
        <w:t>”。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8750" cy="1736725"/>
            <wp:effectExtent l="0" t="0" r="6350" b="31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4、填写完成后，点击“修改保存”完成标段包新增。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5、在附件信息，点击后方“上传”按钮，可上传相关电子件</w:t>
      </w:r>
      <w:r>
        <w:rPr>
          <w:rFonts w:hint="eastAsia"/>
        </w:rPr>
        <w:t>。如下图：</w:t>
      </w:r>
    </w:p>
    <w:p>
      <w:pPr>
        <w:pStyle w:val="139"/>
        <w:bidi w:val="0"/>
      </w:pPr>
      <w:r>
        <w:drawing>
          <wp:inline distT="0" distB="0" distL="114300" distR="114300">
            <wp:extent cx="5242560" cy="1176655"/>
            <wp:effectExtent l="0" t="0" r="2540" b="4445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填写完信息，点击“提交信息”按钮，弹出意见框，输入意见后，点击“确认提交”按钮，项目</w:t>
      </w:r>
      <w:r>
        <w:rPr>
          <w:rFonts w:hint="eastAsia"/>
          <w:lang w:val="en-US" w:eastAsia="zh-CN"/>
        </w:rPr>
        <w:t>立项</w:t>
      </w:r>
      <w:r>
        <w:rPr>
          <w:rFonts w:hint="eastAsia"/>
        </w:rPr>
        <w:t>完成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在项</w:t>
      </w:r>
      <w:r>
        <w:rPr>
          <w:rFonts w:hint="eastAsia"/>
          <w:lang w:val="en-US" w:eastAsia="zh-CN"/>
        </w:rPr>
        <w:t>目</w:t>
      </w:r>
      <w:r>
        <w:rPr>
          <w:rFonts w:hint="eastAsia"/>
        </w:rPr>
        <w:t>列表页面上，</w:t>
      </w:r>
      <w:r>
        <w:rPr>
          <w:rFonts w:hint="eastAsia"/>
          <w:lang w:val="en-US" w:eastAsia="zh-CN"/>
        </w:rPr>
        <w:t>可以对编辑中的项目进行删除或修改。勾选“编辑中”，点击“删除项目”，可以删除项目。</w:t>
      </w:r>
      <w:r>
        <w:rPr>
          <w:rFonts w:hint="eastAsia"/>
        </w:rPr>
        <w:t>点击“编辑中”状态中项目的“操作”按钮，可修改该项目信息。如下图：</w:t>
      </w:r>
    </w:p>
    <w:p>
      <w:pPr>
        <w:pStyle w:val="139"/>
        <w:bidi w:val="0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注：只有“编辑中”状态下的项目才允许</w:t>
      </w: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删除或</w:t>
      </w:r>
      <w:r>
        <w:rPr>
          <w:rFonts w:hint="eastAsia" w:ascii="思源宋体 CN Light" w:hAnsi="思源宋体 CN Light" w:eastAsia="思源宋体 CN Light" w:cs="思源宋体 CN Light"/>
          <w:color w:val="FF0000"/>
        </w:rPr>
        <w:t>修改。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1"/>
          <w:numId w:val="3"/>
        </w:numPr>
        <w:tabs>
          <w:tab w:val="clear" w:pos="420"/>
        </w:tabs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34" w:name="_Toc32344"/>
      <w:r>
        <w:rPr>
          <w:rFonts w:hint="eastAsia" w:ascii="Times New Roman" w:hAnsi="Times New Roman" w:eastAsia="宋体"/>
          <w:lang w:val="en-US" w:eastAsia="zh-CN"/>
        </w:rPr>
        <w:t>招标采购业务</w:t>
      </w:r>
      <w:bookmarkEnd w:id="134"/>
      <w:r>
        <w:rPr>
          <w:rFonts w:hint="eastAsia"/>
          <w:lang w:val="en-US" w:eastAsia="zh-CN"/>
        </w:rPr>
        <w:t xml:space="preserve"> </w:t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35" w:name="_Toc1037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</w:t>
      </w:r>
      <w:bookmarkEnd w:id="135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项目立项审核通过。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发标-开评标场地预约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新增场地预约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</w:t>
      </w:r>
      <w:r>
        <w:rPr>
          <w:rFonts w:hint="eastAsia" w:ascii="仿宋" w:hAnsi="仿宋" w:cs="仿宋"/>
          <w:lang w:val="en-US" w:eastAsia="zh-CN"/>
        </w:rPr>
        <w:t>该项目的开标场地评标场地分别进行预约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pStyle w:val="13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2、填写预约开标场地、预约评标场地的基本信息，并可选择自定义场地；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1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选择开评标室并确认好时间后，点击“提交信息”按钮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4、提交预约后需要确定信息，点击开评标场地预约后找到相关项目，点击操作那个按钮，点击进去后点击“已确认”即审核通过，点击“退回”则退回重新选择地点。</w:t>
      </w:r>
    </w:p>
    <w:p>
      <w:pPr>
        <w:pStyle w:val="2"/>
        <w:ind w:left="0" w:leftChars="0" w:firstLine="0" w:firstLineChars="0"/>
        <w:jc w:val="righ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591175" cy="748030"/>
            <wp:effectExtent l="0" t="0" r="9525" b="12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right"/>
      </w:pPr>
      <w:r>
        <w:drawing>
          <wp:inline distT="0" distB="0" distL="114300" distR="114300">
            <wp:extent cx="5483225" cy="725805"/>
            <wp:effectExtent l="0" t="0" r="3175" b="1079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39"/>
        <w:bidi w:val="0"/>
        <w:jc w:val="both"/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36" w:name="_Toc122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开评标场地变更</w:t>
      </w:r>
      <w:bookmarkEnd w:id="136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开评标场地预约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对已经预约的开评标场地进行变更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1、在“发标-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开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评标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场地变更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”菜单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点击“新增开评标场地变更”按钮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已预约的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开评标场地进行变更</w:t>
      </w:r>
      <w:r>
        <w:rPr>
          <w:rFonts w:hint="eastAsia" w:ascii="仿宋" w:hAnsi="仿宋" w:cs="仿宋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2、查看原开标、评标的预约信息，填写变更原因；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2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3、填写变更后的开标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场地</w:t>
      </w:r>
      <w:r>
        <w:rPr>
          <w:rFonts w:hint="eastAsia" w:ascii="仿宋" w:hAnsi="仿宋" w:cs="仿宋"/>
          <w:sz w:val="24"/>
          <w:szCs w:val="24"/>
          <w:lang w:val="en-US" w:eastAsia="zh-CN"/>
        </w:rPr>
        <w:t>、评标场地预约信息，并提交审核即可；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2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37" w:name="_Toc8659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招标文件编制</w:t>
      </w:r>
      <w:bookmarkEnd w:id="137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项目立项审核通过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方式选择了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标段包。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1、首页拖动鼠标至“招标采购业务”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对应的“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”采购方式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在“发标”菜单下点击“招标文件”新增招标文件；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2、核对标段（包）信息是否有误，并确定选择标段（包）；</w:t>
      </w:r>
    </w:p>
    <w:p>
      <w:r>
        <w:drawing>
          <wp:inline distT="0" distB="0" distL="114300" distR="114300">
            <wp:extent cx="5242560" cy="2299335"/>
            <wp:effectExtent l="0" t="0" r="2540" b="12065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保证金及工本费信息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栏目的具体内容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其中带*号的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必填项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根据项目实际情况进行填写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="仿宋" w:hAnsi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37480" cy="1914525"/>
            <wp:effectExtent l="0" t="0" r="7620" b="317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cs="仿宋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 w:ascii="仿宋" w:hAnsi="仿宋" w:cs="仿宋"/>
          <w:lang w:val="en-US" w:eastAsia="zh-CN"/>
        </w:rPr>
        <w:t>页面基本信息编辑完毕后</w:t>
      </w:r>
      <w:r>
        <w:rPr>
          <w:rFonts w:hint="eastAsia" w:ascii="仿宋" w:hAnsi="仿宋" w:eastAsia="仿宋" w:cs="仿宋"/>
          <w:lang w:val="en-US" w:eastAsia="zh-CN"/>
        </w:rPr>
        <w:t>后，</w:t>
      </w:r>
      <w:r>
        <w:rPr>
          <w:rFonts w:hint="eastAsia" w:ascii="仿宋" w:hAnsi="仿宋" w:cs="仿宋"/>
          <w:lang w:val="en-US" w:eastAsia="zh-CN"/>
        </w:rPr>
        <w:t>点击</w:t>
      </w:r>
      <w:r>
        <w:rPr>
          <w:rFonts w:hint="eastAsia" w:ascii="仿宋" w:hAnsi="仿宋" w:eastAsia="仿宋" w:cs="仿宋"/>
          <w:lang w:val="en-US" w:eastAsia="zh-CN"/>
        </w:rPr>
        <w:t>“</w:t>
      </w:r>
      <w:r>
        <w:rPr>
          <w:rFonts w:hint="eastAsia" w:ascii="仿宋" w:hAnsi="仿宋" w:cs="仿宋"/>
          <w:lang w:val="en-US" w:eastAsia="zh-CN"/>
        </w:rPr>
        <w:t>修改保存</w:t>
      </w:r>
      <w:r>
        <w:rPr>
          <w:rFonts w:hint="eastAsia" w:ascii="仿宋" w:hAnsi="仿宋" w:eastAsia="仿宋" w:cs="仿宋"/>
          <w:lang w:val="en-US" w:eastAsia="zh-CN"/>
        </w:rPr>
        <w:t>”</w:t>
      </w:r>
      <w:r>
        <w:rPr>
          <w:rFonts w:hint="eastAsia" w:ascii="仿宋" w:hAnsi="仿宋" w:cs="仿宋"/>
          <w:lang w:val="en-US" w:eastAsia="zh-CN"/>
        </w:rPr>
        <w:t>然后点击“附件信息”在招标文件栏上传“招标文件”，如有“其他相关附件”一同上传后提交即可。如下图；</w:t>
      </w:r>
    </w:p>
    <w:p>
      <w:pPr>
        <w:pStyle w:val="2"/>
        <w:numPr>
          <w:ilvl w:val="0"/>
          <w:numId w:val="0"/>
        </w:numPr>
        <w:ind w:leftChars="200" w:right="1680" w:rightChars="700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5238115" cy="1254125"/>
            <wp:effectExtent l="0" t="0" r="6985" b="317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38" w:name="_Toc1195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bookmarkEnd w:id="138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立项审核通过。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公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1、首页拖动鼠标至“招标采购业务”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对应的“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公开招标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”采购方式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在“发标”菜单下点击“招标公告”新增招标公告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核对标段（包）信息是否有误，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并确定选择标段（包），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填写公告信息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联系方式等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栏目的具体内容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其中带*号的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必填项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根据项目实际情况进行填写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="仿宋" w:hAnsi="仿宋" w:eastAsia="仿宋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4、编辑完成后点击“修改保存”按钮，再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点击“附件信息”，再点击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后方的“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生成”按钮，可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生成招标公告电子件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163320"/>
            <wp:effectExtent l="0" t="0" r="2540" b="508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完成后点击“提交审核”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确认提交并等待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审核即可。如下图：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保存修改后公告编辑预览里可以直接输入或修改发布的公告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和样式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。   </w:t>
      </w:r>
      <w:r>
        <w:drawing>
          <wp:inline distT="0" distB="0" distL="114300" distR="114300">
            <wp:extent cx="5461000" cy="1953260"/>
            <wp:effectExtent l="0" t="0" r="0" b="254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39" w:name="_Toc12222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澄清文件编制</w:t>
      </w:r>
      <w:bookmarkEnd w:id="13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招标文件制作审核通过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编制招标澄清文件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发标-答疑澄清文件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新增答疑澄清文件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</w:t>
      </w:r>
      <w:r>
        <w:rPr>
          <w:rFonts w:hint="eastAsia" w:ascii="仿宋" w:hAnsi="仿宋" w:cs="仿宋"/>
          <w:lang w:val="en-US" w:eastAsia="zh-CN"/>
        </w:rPr>
        <w:t>招标文件</w:t>
      </w:r>
      <w:r>
        <w:rPr>
          <w:rFonts w:hint="eastAsia" w:ascii="仿宋" w:hAnsi="仿宋" w:eastAsia="仿宋" w:cs="仿宋"/>
        </w:rPr>
        <w:t>的</w:t>
      </w:r>
      <w:r>
        <w:rPr>
          <w:rFonts w:hint="eastAsia" w:ascii="仿宋" w:hAnsi="仿宋" w:cs="仿宋"/>
          <w:lang w:val="en-US" w:eastAsia="zh-CN"/>
        </w:rPr>
        <w:t>开标时间</w:t>
      </w:r>
      <w:r>
        <w:rPr>
          <w:rFonts w:hint="eastAsia" w:ascii="仿宋" w:hAnsi="仿宋" w:eastAsia="仿宋" w:cs="仿宋"/>
        </w:rPr>
        <w:t>以及</w:t>
      </w:r>
      <w:r>
        <w:rPr>
          <w:rFonts w:hint="eastAsia" w:ascii="仿宋" w:hAnsi="仿宋" w:cs="仿宋"/>
          <w:lang w:val="en-US" w:eastAsia="zh-CN"/>
        </w:rPr>
        <w:t>文件内容</w:t>
      </w:r>
      <w:r>
        <w:rPr>
          <w:rFonts w:hint="eastAsia" w:ascii="仿宋" w:hAnsi="仿宋" w:eastAsia="仿宋" w:cs="仿宋"/>
        </w:rPr>
        <w:t>进行变更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pStyle w:val="6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0" b="1905"/>
            <wp:docPr id="7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确认是否需要修改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时间，如果需要修改则填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新的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开标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时间。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填写澄清与修改内容。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32660"/>
            <wp:effectExtent l="0" t="0" r="0" b="762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 w:ascii="仿宋" w:hAnsi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3、上传答疑澄清文件附件提交即可。</w:t>
      </w:r>
    </w:p>
    <w:p>
      <w:pPr>
        <w:pStyle w:val="2"/>
        <w:numPr>
          <w:ilvl w:val="0"/>
          <w:numId w:val="0"/>
        </w:numPr>
        <w:ind w:leftChars="200" w:right="1680" w:rightChars="7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40020" cy="1040130"/>
            <wp:effectExtent l="0" t="0" r="2540" b="11430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40" w:name="_Toc3136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变更公告</w:t>
      </w:r>
      <w:bookmarkEnd w:id="140"/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前提条件：</w:t>
      </w:r>
      <w:r>
        <w:rPr>
          <w:rFonts w:hint="eastAsia" w:ascii="宋体" w:hAnsi="宋体" w:eastAsia="宋体" w:cs="宋体"/>
          <w:lang w:val="en-US" w:eastAsia="zh-CN"/>
        </w:rPr>
        <w:t>招标公告已发布</w:t>
      </w:r>
      <w:r>
        <w:rPr>
          <w:rFonts w:hint="eastAsia"/>
          <w:lang w:val="en-US" w:eastAsia="zh-CN"/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发布变更公告。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</w:rPr>
      </w:pP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发标-变更公告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中，点击 “</w:t>
      </w:r>
      <w:r>
        <w:rPr>
          <w:rFonts w:hint="eastAsia" w:ascii="仿宋" w:hAnsi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变更公告</w:t>
      </w:r>
      <w:r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" w:hAnsi="仿宋" w:eastAsia="仿宋" w:cs="仿宋"/>
        </w:rPr>
        <w:t>可对招标公告的申请截止日期以及公告内容进行变更，变更完后点击修改保存并提交信息。若无需变更，则此项无需调整。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Chars="0" w:firstLine="0" w:firstLineChars="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Chars="0"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 w:right="1680" w:rightChars="700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41" w:name="_Toc860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组建评标委员会</w:t>
      </w:r>
      <w:bookmarkEnd w:id="141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公告文件已发布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申请抽取专家评委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1、在“发标-组建评标委员会”菜单中，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</w:t>
      </w:r>
      <w:r>
        <w:rPr>
          <w:rFonts w:hint="eastAsia" w:ascii="仿宋" w:hAnsi="仿宋" w:cs="仿宋"/>
          <w:sz w:val="24"/>
          <w:szCs w:val="24"/>
          <w:lang w:val="en-US" w:eastAsia="zh-CN"/>
        </w:rPr>
        <w:t>“新建项目”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按钮，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挑选对应的标段进行组建评标委员会；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选择组建方式为“自动抽取”并填写抽取信息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</w:t>
      </w:r>
      <w:r>
        <w:rPr>
          <w:rFonts w:hint="eastAsia" w:ascii="仿宋" w:hAnsi="仿宋" w:cs="仿宋"/>
          <w:sz w:val="24"/>
          <w:szCs w:val="24"/>
          <w:lang w:val="en-US" w:eastAsia="zh-CN"/>
        </w:rPr>
        <w:t>设置新增需要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回避的单位和专家（如需）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点击添加专业按钮，查找需要的专业选择，确认好后点击“确认选择”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5、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输入该专业需要抽取的评委数并新增甲方评委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6、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评委抽取信息填写完善后点击右上角“提交信息”并通知抽取评委</w:t>
      </w:r>
      <w:r>
        <w:rPr>
          <w:rFonts w:hint="eastAsia" w:ascii="仿宋" w:hAnsi="仿宋" w:cs="仿宋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42" w:name="_Toc649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开标情况</w:t>
      </w:r>
      <w:bookmarkEnd w:id="142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公告发布。</w:t>
      </w:r>
    </w:p>
    <w:p>
      <w:pPr>
        <w:ind w:firstLine="422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查看开标的结果，添加进入评标室的人员名单。</w:t>
      </w:r>
    </w:p>
    <w:p>
      <w:pP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1、</w:t>
      </w:r>
      <w:r>
        <w:rPr>
          <w:rFonts w:hint="eastAsia" w:ascii="仿宋" w:hAnsi="仿宋" w:cs="仿宋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在“开评标-开标情况”菜单中，点击“未开标”或“已开标”，点击相关标段的后面按钮，进入该标段。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74930</wp:posOffset>
            </wp:positionV>
            <wp:extent cx="4627245" cy="1534795"/>
            <wp:effectExtent l="0" t="0" r="8255" b="1905"/>
            <wp:wrapSquare wrapText="bothSides"/>
            <wp:docPr id="5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49530</wp:posOffset>
            </wp:positionV>
            <wp:extent cx="4627245" cy="1534795"/>
            <wp:effectExtent l="0" t="0" r="8255" b="1905"/>
            <wp:wrapSquare wrapText="bothSides"/>
            <wp:docPr id="5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2、已开标的项目点击“获取开标数据”后，会自动生产入围的单位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righ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名单，在下方可以点击新增进入评标标室的人员。</w:t>
      </w:r>
    </w:p>
    <w:p>
      <w:pPr>
        <w:pStyle w:val="2"/>
        <w:ind w:left="0" w:leftChars="0" w:firstLine="240" w:firstLineChars="100"/>
      </w:pPr>
      <w:r>
        <w:drawing>
          <wp:inline distT="0" distB="0" distL="114300" distR="114300">
            <wp:extent cx="5243195" cy="1936750"/>
            <wp:effectExtent l="0" t="0" r="1905" b="635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240" w:firstLineChars="100"/>
      </w:pPr>
      <w:r>
        <w:drawing>
          <wp:inline distT="0" distB="0" distL="114300" distR="114300">
            <wp:extent cx="5243830" cy="2113915"/>
            <wp:effectExtent l="0" t="0" r="1270" b="698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240" w:firstLineChars="100"/>
        <w:rPr>
          <w:rFonts w:hint="default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 w:ascii="Times New Roman" w:hAnsi="Times New Roman" w:eastAsia="仿宋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43" w:name="_Toc22537"/>
      <w:r>
        <w:rPr>
          <w:rFonts w:hint="eastAsia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评标情况</w:t>
      </w:r>
      <w:bookmarkEnd w:id="143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评标结束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获取评标结果，选择第一、第二、第三中标候选人。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1、选择“开评标-评标情况”菜单栏，选择对应的标段进入。</w:t>
      </w:r>
    </w:p>
    <w:p>
      <w: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11430</wp:posOffset>
            </wp:positionV>
            <wp:extent cx="5196840" cy="1450975"/>
            <wp:effectExtent l="0" t="0" r="10160" b="9525"/>
            <wp:wrapSquare wrapText="bothSides"/>
            <wp:docPr id="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48910" cy="2167890"/>
            <wp:effectExtent l="0" t="0" r="8890" b="3810"/>
            <wp:docPr id="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200"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2、点击“获取评标数据”就能获取相关评标结果。点击“修改保存”可以修改信息。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1925" cy="1985010"/>
            <wp:effectExtent l="0" t="0" r="3175" b="8890"/>
            <wp:docPr id="1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200" w:right="0" w:righ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3、在评标结果页面中确认评标情况以及中标候选人，确认完毕后点击“评标结束”保存评标结果。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1925" cy="2181225"/>
            <wp:effectExtent l="0" t="0" r="3175" b="3175"/>
            <wp:docPr id="1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right="0" w:rightChars="0" w:firstLine="240" w:firstLineChars="100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4、评标报告页面可以查看评标相关附件，附件信息页面可以上传文件进行备案。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44" w:name="_Toc1600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中标候选人公示</w:t>
      </w:r>
      <w:bookmarkEnd w:id="144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开评标结束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填写中标候选人公示，提交审核。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1、在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定标—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中标候选人公示”菜单</w:t>
      </w: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点击“新增中标候选人公式”按钮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进入中标候选人公示页面，如下图：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right="1680" w:rightChars="7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2299335"/>
            <wp:effectExtent l="0" t="0" r="2540" b="12065"/>
            <wp:docPr id="4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2、中标候选人公示页面，填写公示信息，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确认中标候选人列表排名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8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4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3、点击“附件信息”按钮，生成中标候选人公示电子件。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42560" cy="1236980"/>
            <wp:effectExtent l="0" t="0" r="2540" b="7620"/>
            <wp:docPr id="4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4、填写完信息，点击“提交信息”按钮，弹出意见框中输入意见，点击“确认提交”按钮，提交审核即可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right="1680" w:rightChars="7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139"/>
        <w:bidi w:val="0"/>
        <w:jc w:val="both"/>
      </w:pPr>
    </w:p>
    <w:p>
      <w:pPr>
        <w:pStyle w:val="5"/>
        <w:widowControl/>
        <w:numPr>
          <w:ilvl w:val="2"/>
          <w:numId w:val="3"/>
        </w:numPr>
        <w:tabs>
          <w:tab w:val="left" w:pos="0"/>
          <w:tab w:val="clear" w:pos="567"/>
        </w:tabs>
        <w:ind w:left="709" w:leftChars="0" w:hanging="709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45" w:name="_Toc983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中标结果公告</w:t>
      </w:r>
      <w:bookmarkEnd w:id="145"/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中标候选人公示审核通过</w:t>
      </w: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招标文件审核通过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确定中标单位并网上公示。</w:t>
      </w:r>
    </w:p>
    <w:p>
      <w:pPr>
        <w:ind w:firstLine="422"/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定标—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中标结果公告”菜单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点击“新增中标结果公告”按钮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进入中标结果公告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5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2、选择中标单位，点击选择新增中标单位。进入后点击中标单位名称后面的“检索”，会自动弹出前面挑选的三个候选单位，选择中标单位。</w:t>
      </w:r>
    </w:p>
    <w:p>
      <w:pPr>
        <w:pStyle w:val="2"/>
        <w:numPr>
          <w:ilvl w:val="0"/>
          <w:numId w:val="0"/>
        </w:numPr>
        <w:ind w:leftChars="200" w:right="1680" w:rightChars="700"/>
      </w:pPr>
      <w:r>
        <w:drawing>
          <wp:inline distT="0" distB="0" distL="114300" distR="114300">
            <wp:extent cx="5245100" cy="1784350"/>
            <wp:effectExtent l="0" t="0" r="0" b="6350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 w:right="1680" w:rightChars="700"/>
        <w:rPr>
          <w:rFonts w:hint="default"/>
          <w:lang w:val="en-US" w:eastAsia="zh-CN"/>
        </w:rPr>
      </w:pPr>
      <w:r>
        <w:drawing>
          <wp:inline distT="0" distB="0" distL="114300" distR="114300">
            <wp:extent cx="5247640" cy="1992630"/>
            <wp:effectExtent l="0" t="0" r="10160" b="127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3、选好中标单位后，中标结果公告页面，填写中标结果信息和公告信息，如下图：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42560" cy="2299335"/>
            <wp:effectExtent l="0" t="0" r="2540" b="12065"/>
            <wp:docPr id="5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点击“附件信息”按钮，生成中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标结果公告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电子件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270000"/>
            <wp:effectExtent l="0" t="0" r="2540" b="0"/>
            <wp:docPr id="5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5、填写完信息，点击“提交信息”按钮，弹出意见框中输入意见，点击“确认提交”按钮，提交审核即可。</w:t>
      </w:r>
    </w:p>
    <w:sectPr>
      <w:headerReference r:id="rId15" w:type="first"/>
      <w:footerReference r:id="rId18" w:type="first"/>
      <w:headerReference r:id="rId13" w:type="default"/>
      <w:footerReference r:id="rId16" w:type="default"/>
      <w:headerReference r:id="rId14" w:type="even"/>
      <w:footerReference r:id="rId17" w:type="even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themeColor="accent3" w:sz="24" w:space="5"/>
      </w:pBdr>
      <w:wordWrap w:val="0"/>
      <w:spacing w:line="240" w:lineRule="auto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8" name="文本框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SiN7czAgAAZQ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SiN7c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9" name="文本框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8eqSs0AgAAZQ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19f5d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PHqk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  <w:rPr>
                              <w:rFonts w:hint="eastAsia" w:ascii="思源宋体 CN Light" w:hAnsi="思源宋体 CN Light" w:eastAsia="思源宋体 CN Light" w:cs="思源宋体 CN Light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1Bt+k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1Bt+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rPr>
                        <w:rFonts w:hint="eastAsia" w:ascii="思源宋体 CN Light" w:hAnsi="思源宋体 CN Light" w:eastAsia="思源宋体 CN Light" w:cs="思源宋体 CN Light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1" name="文本框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IQPoD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" name="文本框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G3d4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mxK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G3d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azvg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2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RrO+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kBxM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qa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uQHE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MkPw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7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MkP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/>
        <w:lang w:eastAsia="zh-CN"/>
      </w:rPr>
      <w:drawing>
        <wp:inline distT="0" distB="0" distL="114300" distR="114300">
          <wp:extent cx="436880" cy="295275"/>
          <wp:effectExtent l="0" t="0" r="5080" b="9525"/>
          <wp:docPr id="68" name="图片 68" descr="logo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图片 68" descr="logo红"/>
                  <pic:cNvPicPr>
                    <a:picLocks noChangeAspect="1"/>
                  </pic:cNvPicPr>
                </pic:nvPicPr>
                <pic:blipFill>
                  <a:blip r:embed="rId1"/>
                  <a:srcRect b="36964"/>
                  <a:stretch>
                    <a:fillRect/>
                  </a:stretch>
                </pic:blipFill>
                <pic:spPr>
                  <a:xfrm>
                    <a:off x="0" y="0"/>
                    <a:ext cx="43688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招标代理操作手册v1.0</w:t>
    </w:r>
  </w:p>
  <w:p>
    <w:pPr>
      <w:pStyle w:val="28"/>
      <w:rPr>
        <w:rFonts w:hint="default"/>
        <w:lang w:val="en-US" w:eastAsia="zh-C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/>
        <w:lang w:eastAsia="zh-CN"/>
      </w:rPr>
      <w:drawing>
        <wp:inline distT="0" distB="0" distL="114300" distR="114300">
          <wp:extent cx="436880" cy="295275"/>
          <wp:effectExtent l="0" t="0" r="5080" b="9525"/>
          <wp:docPr id="5" name="图片 5" descr="logo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红"/>
                  <pic:cNvPicPr>
                    <a:picLocks noChangeAspect="1"/>
                  </pic:cNvPicPr>
                </pic:nvPicPr>
                <pic:blipFill>
                  <a:blip r:embed="rId1"/>
                  <a:srcRect b="36964"/>
                  <a:stretch>
                    <a:fillRect/>
                  </a:stretch>
                </pic:blipFill>
                <pic:spPr>
                  <a:xfrm>
                    <a:off x="0" y="0"/>
                    <a:ext cx="43688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招标代理操作手册v1.0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o2Ic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37yi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o2I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/>
        <w:lang w:eastAsia="zh-CN"/>
      </w:rPr>
      <w:drawing>
        <wp:inline distT="0" distB="0" distL="114300" distR="114300">
          <wp:extent cx="436880" cy="295275"/>
          <wp:effectExtent l="0" t="0" r="7620" b="9525"/>
          <wp:docPr id="67" name="图片 67" descr="logo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logo红"/>
                  <pic:cNvPicPr>
                    <a:picLocks noChangeAspect="1"/>
                  </pic:cNvPicPr>
                </pic:nvPicPr>
                <pic:blipFill>
                  <a:blip r:embed="rId1"/>
                  <a:srcRect b="36964"/>
                  <a:stretch>
                    <a:fillRect/>
                  </a:stretch>
                </pic:blipFill>
                <pic:spPr>
                  <a:xfrm>
                    <a:off x="0" y="0"/>
                    <a:ext cx="43688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招标代理操作手册v1.0</w:t>
    </w:r>
  </w:p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9497E"/>
    <w:multiLevelType w:val="singleLevel"/>
    <w:tmpl w:val="82F949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69BA961"/>
    <w:multiLevelType w:val="multilevel"/>
    <w:tmpl w:val="869BA96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8BA3754A"/>
    <w:multiLevelType w:val="singleLevel"/>
    <w:tmpl w:val="8BA3754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CB525860"/>
    <w:multiLevelType w:val="singleLevel"/>
    <w:tmpl w:val="CB525860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2C080BB"/>
    <w:multiLevelType w:val="singleLevel"/>
    <w:tmpl w:val="D2C080BB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D671D024"/>
    <w:multiLevelType w:val="singleLevel"/>
    <w:tmpl w:val="D671D02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6BEB29C"/>
    <w:multiLevelType w:val="singleLevel"/>
    <w:tmpl w:val="D6BEB29C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72FA2A0"/>
    <w:multiLevelType w:val="singleLevel"/>
    <w:tmpl w:val="D72FA2A0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C4FD514"/>
    <w:multiLevelType w:val="singleLevel"/>
    <w:tmpl w:val="FC4FD51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0D98FCA2"/>
    <w:multiLevelType w:val="singleLevel"/>
    <w:tmpl w:val="0D98FCA2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2C02EC4A"/>
    <w:multiLevelType w:val="singleLevel"/>
    <w:tmpl w:val="2C02EC4A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59B9A234"/>
    <w:multiLevelType w:val="singleLevel"/>
    <w:tmpl w:val="59B9A234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A585BCB"/>
    <w:multiLevelType w:val="multilevel"/>
    <w:tmpl w:val="5A585BCB"/>
    <w:lvl w:ilvl="0" w:tentative="0">
      <w:start w:val="1"/>
      <w:numFmt w:val="none"/>
      <w:suff w:val="nothing"/>
      <w:lvlText w:val="一、"/>
      <w:lvlJc w:val="left"/>
      <w:pPr>
        <w:tabs>
          <w:tab w:val="left" w:pos="839"/>
        </w:tabs>
        <w:ind w:left="0" w:firstLine="400"/>
      </w:pPr>
      <w:rPr>
        <w:rFonts w:hint="default" w:ascii="宋体" w:hAnsi="宋体" w:eastAsia="宋体" w:cs="宋体"/>
      </w:rPr>
    </w:lvl>
    <w:lvl w:ilvl="1" w:tentative="0">
      <w:start w:val="1"/>
      <w:numFmt w:val="none"/>
      <w:pStyle w:val="4"/>
      <w:lvlText w:val="1."/>
      <w:lvlJc w:val="left"/>
      <w:pPr>
        <w:tabs>
          <w:tab w:val="left" w:pos="420"/>
        </w:tabs>
        <w:ind w:left="1240" w:leftChars="0" w:hanging="420" w:firstLineChars="0"/>
      </w:pPr>
      <w:rPr>
        <w:rFonts w:hint="default" w:ascii="宋体" w:hAnsi="宋体" w:eastAsia="宋体" w:cs="宋体"/>
      </w:rPr>
    </w:lvl>
    <w:lvl w:ilvl="2" w:tentative="0">
      <w:start w:val="1"/>
      <w:numFmt w:val="none"/>
      <w:lvlText w:val="1.1"/>
      <w:lvlJc w:val="left"/>
      <w:pPr>
        <w:tabs>
          <w:tab w:val="left" w:pos="1260"/>
        </w:tabs>
        <w:ind w:left="1660" w:leftChars="0" w:hanging="42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20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5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9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33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7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4180" w:leftChars="0" w:hanging="420" w:firstLineChars="0"/>
      </w:pPr>
      <w:rPr>
        <w:rFonts w:hint="default"/>
      </w:rPr>
    </w:lvl>
  </w:abstractNum>
  <w:abstractNum w:abstractNumId="13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4">
    <w:nsid w:val="616517B2"/>
    <w:multiLevelType w:val="singleLevel"/>
    <w:tmpl w:val="616517B2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A96F425"/>
    <w:multiLevelType w:val="singleLevel"/>
    <w:tmpl w:val="7A96F42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14"/>
  </w:num>
  <w:num w:numId="12">
    <w:abstractNumId w:val="11"/>
  </w:num>
  <w:num w:numId="13">
    <w:abstractNumId w:val="9"/>
  </w:num>
  <w:num w:numId="14">
    <w:abstractNumId w:val="8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1YTk3MTRjNzYyYjQyZjlkMzkyMWJjYjRlN2QyY2MifQ=="/>
  </w:docVars>
  <w:rsids>
    <w:rsidRoot w:val="007405F0"/>
    <w:rsid w:val="00043FEA"/>
    <w:rsid w:val="000531A8"/>
    <w:rsid w:val="000822AB"/>
    <w:rsid w:val="000C791A"/>
    <w:rsid w:val="000E12F3"/>
    <w:rsid w:val="000E15F9"/>
    <w:rsid w:val="000F356C"/>
    <w:rsid w:val="001A5725"/>
    <w:rsid w:val="00247454"/>
    <w:rsid w:val="00254A55"/>
    <w:rsid w:val="00260726"/>
    <w:rsid w:val="002640CC"/>
    <w:rsid w:val="00296814"/>
    <w:rsid w:val="002C6431"/>
    <w:rsid w:val="002F0ED7"/>
    <w:rsid w:val="002F17F2"/>
    <w:rsid w:val="002F1E31"/>
    <w:rsid w:val="0030168D"/>
    <w:rsid w:val="0032495E"/>
    <w:rsid w:val="00362EBF"/>
    <w:rsid w:val="00364600"/>
    <w:rsid w:val="00392290"/>
    <w:rsid w:val="00397DED"/>
    <w:rsid w:val="00397E33"/>
    <w:rsid w:val="003A6AB1"/>
    <w:rsid w:val="003E1AD3"/>
    <w:rsid w:val="003E6A84"/>
    <w:rsid w:val="00402496"/>
    <w:rsid w:val="00423165"/>
    <w:rsid w:val="00483B6B"/>
    <w:rsid w:val="004F5E6B"/>
    <w:rsid w:val="00512978"/>
    <w:rsid w:val="00546561"/>
    <w:rsid w:val="00551887"/>
    <w:rsid w:val="00557842"/>
    <w:rsid w:val="00570D64"/>
    <w:rsid w:val="005A459E"/>
    <w:rsid w:val="005C30AC"/>
    <w:rsid w:val="005E2B5F"/>
    <w:rsid w:val="00640E82"/>
    <w:rsid w:val="006675A9"/>
    <w:rsid w:val="006A1D0B"/>
    <w:rsid w:val="006A3509"/>
    <w:rsid w:val="006B060D"/>
    <w:rsid w:val="006C0E3E"/>
    <w:rsid w:val="006D4ED5"/>
    <w:rsid w:val="006D5E5E"/>
    <w:rsid w:val="007405F0"/>
    <w:rsid w:val="00741433"/>
    <w:rsid w:val="007A1033"/>
    <w:rsid w:val="007A7AE8"/>
    <w:rsid w:val="00851872"/>
    <w:rsid w:val="0085340C"/>
    <w:rsid w:val="008B15DB"/>
    <w:rsid w:val="009002F7"/>
    <w:rsid w:val="0091791F"/>
    <w:rsid w:val="00963861"/>
    <w:rsid w:val="009819E3"/>
    <w:rsid w:val="009B729A"/>
    <w:rsid w:val="00A22C87"/>
    <w:rsid w:val="00A367AF"/>
    <w:rsid w:val="00A37C4B"/>
    <w:rsid w:val="00B55F64"/>
    <w:rsid w:val="00B734BE"/>
    <w:rsid w:val="00B819F6"/>
    <w:rsid w:val="00B962C1"/>
    <w:rsid w:val="00BE1B05"/>
    <w:rsid w:val="00C04850"/>
    <w:rsid w:val="00C27BD8"/>
    <w:rsid w:val="00CA73A0"/>
    <w:rsid w:val="00CC6939"/>
    <w:rsid w:val="00CD7CB6"/>
    <w:rsid w:val="00CD7EB6"/>
    <w:rsid w:val="00D422FB"/>
    <w:rsid w:val="00D8151F"/>
    <w:rsid w:val="00D9130C"/>
    <w:rsid w:val="00DC406A"/>
    <w:rsid w:val="00DD41D2"/>
    <w:rsid w:val="00E108EB"/>
    <w:rsid w:val="00E325E9"/>
    <w:rsid w:val="00E673F1"/>
    <w:rsid w:val="00E969F8"/>
    <w:rsid w:val="00F01E74"/>
    <w:rsid w:val="00F22A0A"/>
    <w:rsid w:val="00F51EF5"/>
    <w:rsid w:val="00F72395"/>
    <w:rsid w:val="00FC239C"/>
    <w:rsid w:val="00FE2244"/>
    <w:rsid w:val="00FE342E"/>
    <w:rsid w:val="00FE569B"/>
    <w:rsid w:val="03B3302E"/>
    <w:rsid w:val="03BA0D87"/>
    <w:rsid w:val="03BD1A07"/>
    <w:rsid w:val="03FE7A68"/>
    <w:rsid w:val="0424775D"/>
    <w:rsid w:val="052E448E"/>
    <w:rsid w:val="09931695"/>
    <w:rsid w:val="0A56459C"/>
    <w:rsid w:val="0B9F3D21"/>
    <w:rsid w:val="0D916EFE"/>
    <w:rsid w:val="0ED00D7B"/>
    <w:rsid w:val="117D521F"/>
    <w:rsid w:val="11A02B00"/>
    <w:rsid w:val="130479A3"/>
    <w:rsid w:val="13A10FD8"/>
    <w:rsid w:val="158C3568"/>
    <w:rsid w:val="16095012"/>
    <w:rsid w:val="175A00AD"/>
    <w:rsid w:val="17D51B28"/>
    <w:rsid w:val="17E95192"/>
    <w:rsid w:val="18B934F7"/>
    <w:rsid w:val="1A291452"/>
    <w:rsid w:val="1BAA1713"/>
    <w:rsid w:val="1FD0754A"/>
    <w:rsid w:val="20F6077F"/>
    <w:rsid w:val="252364E9"/>
    <w:rsid w:val="2A7F5258"/>
    <w:rsid w:val="2AC633CF"/>
    <w:rsid w:val="2B193B1F"/>
    <w:rsid w:val="2B1A4C48"/>
    <w:rsid w:val="2C793AC8"/>
    <w:rsid w:val="2D302E43"/>
    <w:rsid w:val="31711B02"/>
    <w:rsid w:val="32021E67"/>
    <w:rsid w:val="32B5653B"/>
    <w:rsid w:val="33310EBB"/>
    <w:rsid w:val="34726C90"/>
    <w:rsid w:val="349F69BC"/>
    <w:rsid w:val="35CE1C72"/>
    <w:rsid w:val="35D26A76"/>
    <w:rsid w:val="36AB336A"/>
    <w:rsid w:val="39084E68"/>
    <w:rsid w:val="39556580"/>
    <w:rsid w:val="3A512912"/>
    <w:rsid w:val="3B87250C"/>
    <w:rsid w:val="3C467853"/>
    <w:rsid w:val="3F9B0D54"/>
    <w:rsid w:val="42014171"/>
    <w:rsid w:val="437657D7"/>
    <w:rsid w:val="443A192C"/>
    <w:rsid w:val="4579514B"/>
    <w:rsid w:val="45F113C3"/>
    <w:rsid w:val="464E46E2"/>
    <w:rsid w:val="4A6F6207"/>
    <w:rsid w:val="4D345F5B"/>
    <w:rsid w:val="509430BF"/>
    <w:rsid w:val="555530EE"/>
    <w:rsid w:val="556031B7"/>
    <w:rsid w:val="565D52B2"/>
    <w:rsid w:val="57BE43BD"/>
    <w:rsid w:val="59270AA0"/>
    <w:rsid w:val="5B886639"/>
    <w:rsid w:val="5F973479"/>
    <w:rsid w:val="5FCF78A6"/>
    <w:rsid w:val="606F2535"/>
    <w:rsid w:val="60FE7EBD"/>
    <w:rsid w:val="62D6508B"/>
    <w:rsid w:val="64BB7CE3"/>
    <w:rsid w:val="663C41B4"/>
    <w:rsid w:val="68263B57"/>
    <w:rsid w:val="6BB64727"/>
    <w:rsid w:val="6DFC340E"/>
    <w:rsid w:val="711D486E"/>
    <w:rsid w:val="71413508"/>
    <w:rsid w:val="72830F87"/>
    <w:rsid w:val="74E851D2"/>
    <w:rsid w:val="753231B9"/>
    <w:rsid w:val="753438C1"/>
    <w:rsid w:val="7B1068A3"/>
    <w:rsid w:val="7BAF5908"/>
    <w:rsid w:val="7F6B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03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仿宋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97"/>
    <w:qFormat/>
    <w:uiPriority w:val="0"/>
    <w:pPr>
      <w:keepNext/>
      <w:keepLines/>
      <w:numPr>
        <w:ilvl w:val="1"/>
        <w:numId w:val="2"/>
      </w:numPr>
      <w:tabs>
        <w:tab w:val="left" w:pos="0"/>
        <w:tab w:val="left" w:pos="567"/>
      </w:tabs>
      <w:spacing w:before="120" w:after="120"/>
      <w:ind w:left="420" w:firstLineChars="0"/>
      <w:jc w:val="left"/>
      <w:outlineLvl w:val="1"/>
    </w:pPr>
    <w:rPr>
      <w:rFonts w:ascii="Times New Roman" w:hAnsi="Times New Roman" w:eastAsia="宋体"/>
      <w:bCs/>
      <w:sz w:val="30"/>
      <w:szCs w:val="32"/>
    </w:rPr>
  </w:style>
  <w:style w:type="paragraph" w:styleId="5">
    <w:name w:val="heading 3"/>
    <w:basedOn w:val="1"/>
    <w:next w:val="1"/>
    <w:link w:val="9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7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6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8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0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1"/>
    <w:qFormat/>
    <w:uiPriority w:val="0"/>
    <w:pPr>
      <w:outlineLvl w:val="7"/>
    </w:pPr>
  </w:style>
  <w:style w:type="paragraph" w:styleId="11">
    <w:name w:val="heading 9"/>
    <w:basedOn w:val="10"/>
    <w:next w:val="1"/>
    <w:link w:val="93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9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1"/>
    <w:qFormat/>
    <w:uiPriority w:val="0"/>
  </w:style>
  <w:style w:type="paragraph" w:styleId="17">
    <w:name w:val="Body Text 3"/>
    <w:basedOn w:val="1"/>
    <w:link w:val="111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5"/>
    <w:qFormat/>
    <w:uiPriority w:val="0"/>
    <w:pPr>
      <w:spacing w:after="120"/>
    </w:pPr>
  </w:style>
  <w:style w:type="paragraph" w:styleId="19">
    <w:name w:val="Body Text Indent"/>
    <w:basedOn w:val="1"/>
    <w:link w:val="95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6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4"/>
    <w:qFormat/>
    <w:uiPriority w:val="0"/>
    <w:pPr>
      <w:ind w:left="100" w:leftChars="2500"/>
    </w:pPr>
  </w:style>
  <w:style w:type="paragraph" w:styleId="25">
    <w:name w:val="Body Text Indent 2"/>
    <w:basedOn w:val="1"/>
    <w:link w:val="92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0"/>
    <w:qFormat/>
    <w:uiPriority w:val="0"/>
    <w:rPr>
      <w:sz w:val="18"/>
      <w:szCs w:val="18"/>
    </w:rPr>
  </w:style>
  <w:style w:type="paragraph" w:styleId="27">
    <w:name w:val="footer"/>
    <w:basedOn w:val="1"/>
    <w:link w:val="9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2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0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04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0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4">
    <w:name w:val="列出段落1"/>
    <w:basedOn w:val="1"/>
    <w:qFormat/>
    <w:uiPriority w:val="34"/>
  </w:style>
  <w:style w:type="paragraph" w:customStyle="1" w:styleId="6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6">
    <w:name w:val="FA正文"/>
    <w:basedOn w:val="1"/>
    <w:link w:val="110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7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8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9">
    <w:name w:val="样式2"/>
    <w:basedOn w:val="1"/>
    <w:link w:val="116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0">
    <w:name w:val="样式3"/>
    <w:basedOn w:val="28"/>
    <w:link w:val="117"/>
    <w:qFormat/>
    <w:uiPriority w:val="0"/>
    <w:pPr>
      <w:ind w:firstLine="360"/>
    </w:pPr>
  </w:style>
  <w:style w:type="paragraph" w:customStyle="1" w:styleId="71">
    <w:name w:val="样式4"/>
    <w:basedOn w:val="70"/>
    <w:link w:val="118"/>
    <w:qFormat/>
    <w:uiPriority w:val="0"/>
  </w:style>
  <w:style w:type="paragraph" w:customStyle="1" w:styleId="72">
    <w:name w:val="样式5"/>
    <w:basedOn w:val="28"/>
    <w:link w:val="119"/>
    <w:qFormat/>
    <w:uiPriority w:val="0"/>
    <w:pPr>
      <w:ind w:firstLine="360"/>
    </w:pPr>
  </w:style>
  <w:style w:type="paragraph" w:customStyle="1" w:styleId="73">
    <w:name w:val="样式6"/>
    <w:basedOn w:val="28"/>
    <w:link w:val="120"/>
    <w:qFormat/>
    <w:uiPriority w:val="0"/>
    <w:pPr>
      <w:ind w:firstLine="360"/>
    </w:pPr>
  </w:style>
  <w:style w:type="paragraph" w:customStyle="1" w:styleId="74">
    <w:name w:val="样式7"/>
    <w:basedOn w:val="5"/>
    <w:link w:val="121"/>
    <w:qFormat/>
    <w:uiPriority w:val="0"/>
  </w:style>
  <w:style w:type="paragraph" w:customStyle="1" w:styleId="75">
    <w:name w:val="样式8"/>
    <w:basedOn w:val="27"/>
    <w:link w:val="122"/>
    <w:qFormat/>
    <w:uiPriority w:val="0"/>
    <w:pPr>
      <w:ind w:firstLine="0" w:firstLineChars="0"/>
      <w:jc w:val="left"/>
    </w:pPr>
  </w:style>
  <w:style w:type="paragraph" w:customStyle="1" w:styleId="76">
    <w:name w:val="样式9"/>
    <w:basedOn w:val="75"/>
    <w:link w:val="123"/>
    <w:qFormat/>
    <w:uiPriority w:val="0"/>
    <w:pPr>
      <w:jc w:val="center"/>
    </w:pPr>
  </w:style>
  <w:style w:type="paragraph" w:customStyle="1" w:styleId="77">
    <w:name w:val="样式10"/>
    <w:basedOn w:val="76"/>
    <w:link w:val="124"/>
    <w:qFormat/>
    <w:uiPriority w:val="0"/>
    <w:pPr>
      <w:pBdr>
        <w:top w:val="single" w:color="76923C" w:sz="24" w:space="1"/>
      </w:pBdr>
    </w:pPr>
  </w:style>
  <w:style w:type="paragraph" w:customStyle="1" w:styleId="78">
    <w:name w:val="样式11"/>
    <w:basedOn w:val="77"/>
    <w:link w:val="125"/>
    <w:qFormat/>
    <w:uiPriority w:val="0"/>
    <w:pPr>
      <w:pBdr>
        <w:top w:val="none" w:color="auto" w:sz="0" w:space="0"/>
      </w:pBdr>
    </w:pPr>
  </w:style>
  <w:style w:type="paragraph" w:customStyle="1" w:styleId="79">
    <w:name w:val="样式12"/>
    <w:basedOn w:val="78"/>
    <w:link w:val="126"/>
    <w:qFormat/>
    <w:uiPriority w:val="0"/>
  </w:style>
  <w:style w:type="paragraph" w:customStyle="1" w:styleId="80">
    <w:name w:val="样式13"/>
    <w:basedOn w:val="74"/>
    <w:link w:val="127"/>
    <w:qFormat/>
    <w:uiPriority w:val="0"/>
  </w:style>
  <w:style w:type="paragraph" w:customStyle="1" w:styleId="81">
    <w:name w:val="2"/>
    <w:basedOn w:val="1"/>
    <w:link w:val="128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2">
    <w:name w:val="1"/>
    <w:basedOn w:val="1"/>
    <w:link w:val="129"/>
    <w:qFormat/>
    <w:uiPriority w:val="0"/>
    <w:pPr>
      <w:ind w:firstLine="0" w:firstLineChars="0"/>
    </w:pPr>
  </w:style>
  <w:style w:type="paragraph" w:customStyle="1" w:styleId="83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4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5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6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7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8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0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3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4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5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6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7">
    <w:name w:val="标题 2 Char"/>
    <w:link w:val="4"/>
    <w:qFormat/>
    <w:uiPriority w:val="0"/>
    <w:rPr>
      <w:rFonts w:ascii="Times New Roman" w:hAnsi="Times New Roman" w:eastAsia="宋体"/>
      <w:bCs/>
      <w:kern w:val="2"/>
      <w:sz w:val="30"/>
      <w:szCs w:val="32"/>
    </w:rPr>
  </w:style>
  <w:style w:type="character" w:customStyle="1" w:styleId="98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9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0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1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2">
    <w:name w:val="14_black1"/>
    <w:qFormat/>
    <w:uiPriority w:val="0"/>
    <w:rPr>
      <w:color w:val="000000"/>
      <w:sz w:val="23"/>
      <w:szCs w:val="23"/>
    </w:rPr>
  </w:style>
  <w:style w:type="character" w:customStyle="1" w:styleId="103">
    <w:name w:val="标题 1 Char"/>
    <w:link w:val="3"/>
    <w:qFormat/>
    <w:uiPriority w:val="0"/>
    <w:rPr>
      <w:rFonts w:eastAsia="仿宋"/>
      <w:b/>
      <w:bCs/>
      <w:kern w:val="44"/>
      <w:sz w:val="32"/>
      <w:szCs w:val="28"/>
    </w:rPr>
  </w:style>
  <w:style w:type="character" w:customStyle="1" w:styleId="104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5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6">
    <w:name w:val="f141"/>
    <w:qFormat/>
    <w:uiPriority w:val="0"/>
    <w:rPr>
      <w:sz w:val="21"/>
      <w:szCs w:val="21"/>
    </w:rPr>
  </w:style>
  <w:style w:type="character" w:customStyle="1" w:styleId="107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8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9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0">
    <w:name w:val="FA正文 Char"/>
    <w:link w:val="66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1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2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3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4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5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6">
    <w:name w:val="样式2 Char"/>
    <w:link w:val="69"/>
    <w:qFormat/>
    <w:uiPriority w:val="0"/>
    <w:rPr>
      <w:b/>
      <w:kern w:val="2"/>
      <w:sz w:val="30"/>
      <w:szCs w:val="24"/>
    </w:rPr>
  </w:style>
  <w:style w:type="character" w:customStyle="1" w:styleId="117">
    <w:name w:val="样式3 Char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4 Char1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5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6 Char"/>
    <w:link w:val="73"/>
    <w:qFormat/>
    <w:uiPriority w:val="0"/>
    <w:rPr>
      <w:kern w:val="2"/>
      <w:sz w:val="18"/>
      <w:szCs w:val="18"/>
    </w:rPr>
  </w:style>
  <w:style w:type="character" w:customStyle="1" w:styleId="121">
    <w:name w:val="样式7 Char"/>
    <w:link w:val="74"/>
    <w:qFormat/>
    <w:uiPriority w:val="0"/>
    <w:rPr>
      <w:b/>
      <w:bCs/>
      <w:kern w:val="2"/>
      <w:sz w:val="28"/>
      <w:szCs w:val="18"/>
    </w:rPr>
  </w:style>
  <w:style w:type="character" w:customStyle="1" w:styleId="122">
    <w:name w:val="样式8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9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0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1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2 Char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13 Char"/>
    <w:link w:val="80"/>
    <w:qFormat/>
    <w:uiPriority w:val="0"/>
    <w:rPr>
      <w:b/>
      <w:bCs/>
      <w:kern w:val="2"/>
      <w:sz w:val="28"/>
      <w:szCs w:val="18"/>
    </w:rPr>
  </w:style>
  <w:style w:type="character" w:customStyle="1" w:styleId="128">
    <w:name w:val="2 Char"/>
    <w:link w:val="81"/>
    <w:qFormat/>
    <w:uiPriority w:val="0"/>
    <w:rPr>
      <w:spacing w:val="4"/>
      <w:kern w:val="2"/>
      <w:sz w:val="21"/>
      <w:szCs w:val="24"/>
    </w:rPr>
  </w:style>
  <w:style w:type="character" w:customStyle="1" w:styleId="129">
    <w:name w:val="1 Char"/>
    <w:link w:val="82"/>
    <w:qFormat/>
    <w:uiPriority w:val="0"/>
    <w:rPr>
      <w:kern w:val="2"/>
      <w:sz w:val="21"/>
      <w:szCs w:val="24"/>
    </w:rPr>
  </w:style>
  <w:style w:type="character" w:customStyle="1" w:styleId="130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1">
    <w:name w:val="样式1 Char"/>
    <w:link w:val="60"/>
    <w:qFormat/>
    <w:uiPriority w:val="0"/>
    <w:rPr>
      <w:kern w:val="2"/>
      <w:sz w:val="24"/>
      <w:szCs w:val="24"/>
    </w:rPr>
  </w:style>
  <w:style w:type="paragraph" w:styleId="13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3">
    <w:name w:val="List Paragraph"/>
    <w:basedOn w:val="1"/>
    <w:qFormat/>
    <w:uiPriority w:val="34"/>
  </w:style>
  <w:style w:type="character" w:customStyle="1" w:styleId="134">
    <w:name w:val="file-name"/>
    <w:basedOn w:val="43"/>
    <w:qFormat/>
    <w:uiPriority w:val="0"/>
  </w:style>
  <w:style w:type="character" w:customStyle="1" w:styleId="135">
    <w:name w:val="docs-item-note1"/>
    <w:basedOn w:val="43"/>
    <w:qFormat/>
    <w:uiPriority w:val="0"/>
    <w:rPr>
      <w:color w:val="B2B2B2"/>
      <w:sz w:val="16"/>
      <w:szCs w:val="16"/>
    </w:rPr>
  </w:style>
  <w:style w:type="paragraph" w:customStyle="1" w:styleId="1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9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40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0.png"/><Relationship Id="rId98" Type="http://schemas.openxmlformats.org/officeDocument/2006/relationships/image" Target="media/image79.png"/><Relationship Id="rId97" Type="http://schemas.openxmlformats.org/officeDocument/2006/relationships/image" Target="media/image78.png"/><Relationship Id="rId96" Type="http://schemas.openxmlformats.org/officeDocument/2006/relationships/image" Target="media/image77.png"/><Relationship Id="rId95" Type="http://schemas.openxmlformats.org/officeDocument/2006/relationships/image" Target="media/image76.png"/><Relationship Id="rId94" Type="http://schemas.openxmlformats.org/officeDocument/2006/relationships/image" Target="media/image75.png"/><Relationship Id="rId93" Type="http://schemas.openxmlformats.org/officeDocument/2006/relationships/image" Target="media/image74.png"/><Relationship Id="rId92" Type="http://schemas.openxmlformats.org/officeDocument/2006/relationships/image" Target="media/image73.png"/><Relationship Id="rId91" Type="http://schemas.openxmlformats.org/officeDocument/2006/relationships/image" Target="media/image72.png"/><Relationship Id="rId90" Type="http://schemas.openxmlformats.org/officeDocument/2006/relationships/image" Target="media/image71.png"/><Relationship Id="rId9" Type="http://schemas.openxmlformats.org/officeDocument/2006/relationships/footer" Target="footer2.xml"/><Relationship Id="rId89" Type="http://schemas.openxmlformats.org/officeDocument/2006/relationships/image" Target="media/image70.png"/><Relationship Id="rId88" Type="http://schemas.openxmlformats.org/officeDocument/2006/relationships/image" Target="media/image69.png"/><Relationship Id="rId87" Type="http://schemas.openxmlformats.org/officeDocument/2006/relationships/image" Target="media/image68.png"/><Relationship Id="rId86" Type="http://schemas.openxmlformats.org/officeDocument/2006/relationships/image" Target="media/image67.png"/><Relationship Id="rId85" Type="http://schemas.openxmlformats.org/officeDocument/2006/relationships/image" Target="media/image66.png"/><Relationship Id="rId84" Type="http://schemas.openxmlformats.org/officeDocument/2006/relationships/image" Target="media/image65.png"/><Relationship Id="rId83" Type="http://schemas.openxmlformats.org/officeDocument/2006/relationships/image" Target="media/image64.png"/><Relationship Id="rId82" Type="http://schemas.openxmlformats.org/officeDocument/2006/relationships/image" Target="media/image63.png"/><Relationship Id="rId81" Type="http://schemas.openxmlformats.org/officeDocument/2006/relationships/image" Target="media/image62.png"/><Relationship Id="rId80" Type="http://schemas.openxmlformats.org/officeDocument/2006/relationships/image" Target="media/image61.png"/><Relationship Id="rId8" Type="http://schemas.openxmlformats.org/officeDocument/2006/relationships/footer" Target="footer1.xml"/><Relationship Id="rId79" Type="http://schemas.openxmlformats.org/officeDocument/2006/relationships/image" Target="media/image60.png"/><Relationship Id="rId78" Type="http://schemas.openxmlformats.org/officeDocument/2006/relationships/image" Target="media/image59.png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image" Target="media/image56.png"/><Relationship Id="rId74" Type="http://schemas.openxmlformats.org/officeDocument/2006/relationships/image" Target="media/image55.png"/><Relationship Id="rId73" Type="http://schemas.openxmlformats.org/officeDocument/2006/relationships/image" Target="media/image54.png"/><Relationship Id="rId72" Type="http://schemas.openxmlformats.org/officeDocument/2006/relationships/image" Target="media/image53.png"/><Relationship Id="rId71" Type="http://schemas.openxmlformats.org/officeDocument/2006/relationships/image" Target="media/image52.png"/><Relationship Id="rId70" Type="http://schemas.openxmlformats.org/officeDocument/2006/relationships/image" Target="media/image51.png"/><Relationship Id="rId7" Type="http://schemas.openxmlformats.org/officeDocument/2006/relationships/header" Target="header3.xml"/><Relationship Id="rId69" Type="http://schemas.openxmlformats.org/officeDocument/2006/relationships/image" Target="media/image50.png"/><Relationship Id="rId68" Type="http://schemas.openxmlformats.org/officeDocument/2006/relationships/image" Target="media/image49.png"/><Relationship Id="rId67" Type="http://schemas.openxmlformats.org/officeDocument/2006/relationships/image" Target="media/image48.png"/><Relationship Id="rId66" Type="http://schemas.openxmlformats.org/officeDocument/2006/relationships/image" Target="media/image47.png"/><Relationship Id="rId65" Type="http://schemas.openxmlformats.org/officeDocument/2006/relationships/image" Target="media/image46.png"/><Relationship Id="rId64" Type="http://schemas.openxmlformats.org/officeDocument/2006/relationships/image" Target="media/image45.png"/><Relationship Id="rId63" Type="http://schemas.openxmlformats.org/officeDocument/2006/relationships/image" Target="media/image44.png"/><Relationship Id="rId62" Type="http://schemas.openxmlformats.org/officeDocument/2006/relationships/image" Target="media/image43.pn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header" Target="header2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png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header" Target="header1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7.xml"/><Relationship Id="rId17" Type="http://schemas.openxmlformats.org/officeDocument/2006/relationships/footer" Target="footer6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9" Type="http://schemas.openxmlformats.org/officeDocument/2006/relationships/fontTable" Target="fontTable.xml"/><Relationship Id="rId128" Type="http://schemas.openxmlformats.org/officeDocument/2006/relationships/customXml" Target="../customXml/item2.xml"/><Relationship Id="rId127" Type="http://schemas.openxmlformats.org/officeDocument/2006/relationships/numbering" Target="numbering.xml"/><Relationship Id="rId126" Type="http://schemas.openxmlformats.org/officeDocument/2006/relationships/customXml" Target="../customXml/item1.xml"/><Relationship Id="rId125" Type="http://schemas.openxmlformats.org/officeDocument/2006/relationships/image" Target="media/image106.png"/><Relationship Id="rId124" Type="http://schemas.openxmlformats.org/officeDocument/2006/relationships/image" Target="media/image105.png"/><Relationship Id="rId123" Type="http://schemas.openxmlformats.org/officeDocument/2006/relationships/image" Target="media/image104.png"/><Relationship Id="rId122" Type="http://schemas.openxmlformats.org/officeDocument/2006/relationships/image" Target="media/image103.png"/><Relationship Id="rId121" Type="http://schemas.openxmlformats.org/officeDocument/2006/relationships/image" Target="media/image102.png"/><Relationship Id="rId120" Type="http://schemas.openxmlformats.org/officeDocument/2006/relationships/image" Target="media/image101.png"/><Relationship Id="rId12" Type="http://schemas.openxmlformats.org/officeDocument/2006/relationships/footer" Target="footer4.xml"/><Relationship Id="rId119" Type="http://schemas.openxmlformats.org/officeDocument/2006/relationships/image" Target="media/image100.png"/><Relationship Id="rId118" Type="http://schemas.openxmlformats.org/officeDocument/2006/relationships/image" Target="media/image99.png"/><Relationship Id="rId117" Type="http://schemas.openxmlformats.org/officeDocument/2006/relationships/image" Target="media/image98.png"/><Relationship Id="rId116" Type="http://schemas.openxmlformats.org/officeDocument/2006/relationships/image" Target="media/image97.png"/><Relationship Id="rId115" Type="http://schemas.openxmlformats.org/officeDocument/2006/relationships/image" Target="media/image96.png"/><Relationship Id="rId114" Type="http://schemas.openxmlformats.org/officeDocument/2006/relationships/image" Target="media/image95.png"/><Relationship Id="rId113" Type="http://schemas.openxmlformats.org/officeDocument/2006/relationships/image" Target="media/image94.png"/><Relationship Id="rId112" Type="http://schemas.openxmlformats.org/officeDocument/2006/relationships/image" Target="media/image93.png"/><Relationship Id="rId111" Type="http://schemas.openxmlformats.org/officeDocument/2006/relationships/image" Target="media/image92.png"/><Relationship Id="rId110" Type="http://schemas.openxmlformats.org/officeDocument/2006/relationships/image" Target="media/image91.png"/><Relationship Id="rId11" Type="http://schemas.openxmlformats.org/officeDocument/2006/relationships/header" Target="header4.xml"/><Relationship Id="rId109" Type="http://schemas.openxmlformats.org/officeDocument/2006/relationships/image" Target="media/image90.png"/><Relationship Id="rId108" Type="http://schemas.openxmlformats.org/officeDocument/2006/relationships/image" Target="media/image89.png"/><Relationship Id="rId107" Type="http://schemas.openxmlformats.org/officeDocument/2006/relationships/image" Target="media/image88.png"/><Relationship Id="rId106" Type="http://schemas.openxmlformats.org/officeDocument/2006/relationships/image" Target="media/image87.png"/><Relationship Id="rId105" Type="http://schemas.openxmlformats.org/officeDocument/2006/relationships/image" Target="media/image86.png"/><Relationship Id="rId104" Type="http://schemas.openxmlformats.org/officeDocument/2006/relationships/image" Target="media/image85.png"/><Relationship Id="rId103" Type="http://schemas.openxmlformats.org/officeDocument/2006/relationships/image" Target="media/image84.png"/><Relationship Id="rId102" Type="http://schemas.openxmlformats.org/officeDocument/2006/relationships/image" Target="media/image83.png"/><Relationship Id="rId101" Type="http://schemas.openxmlformats.org/officeDocument/2006/relationships/image" Target="media/image82.png"/><Relationship Id="rId100" Type="http://schemas.openxmlformats.org/officeDocument/2006/relationships/image" Target="media/image81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CD7E0A-CEE2-4C48-AFE7-5B9F20239F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江苏国泰新点软件有限公司  0512-58188000</Company>
  <Pages>63</Pages>
  <Words>7835</Words>
  <Characters>8102</Characters>
  <Lines>37</Lines>
  <Paragraphs>10</Paragraphs>
  <TotalTime>0</TotalTime>
  <ScaleCrop>false</ScaleCrop>
  <LinksUpToDate>false</LinksUpToDate>
  <CharactersWithSpaces>8295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Lancelot</cp:lastModifiedBy>
  <dcterms:modified xsi:type="dcterms:W3CDTF">2022-11-08T07:04:41Z</dcterms:modified>
  <dc:title>_x0001_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26E1263C08C047629D65AB28150ED68D</vt:lpwstr>
  </property>
</Properties>
</file>