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 xml:space="preserve">附件3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违反评标专家库日常管理不良行为认定表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（“百城e采”交易平台填写）</w:t>
      </w:r>
    </w:p>
    <w:tbl>
      <w:tblPr>
        <w:tblStyle w:val="3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6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专家姓名</w:t>
            </w:r>
          </w:p>
        </w:tc>
        <w:tc>
          <w:tcPr>
            <w:tcW w:w="6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72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不良行为</w:t>
            </w:r>
          </w:p>
        </w:tc>
        <w:tc>
          <w:tcPr>
            <w:tcW w:w="6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未能在“百城e采”电子交易平台评标专家库系统中正确填写或及时修改工作单位、联系方式、回避单位等信息的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2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其他违反评标专家库日常管理的行为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认定不良行为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具体情形、认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定依据及作出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认定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5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百城e采电子交易平台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 月 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备注：在不良行为前“□”内打“√”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zZjZDUzZmZkYmU5ZTEyOWM4MzkxZDlmZjhlMGMifQ=="/>
  </w:docVars>
  <w:rsids>
    <w:rsidRoot w:val="3F477E02"/>
    <w:rsid w:val="121F5BBC"/>
    <w:rsid w:val="3F477E02"/>
    <w:rsid w:val="719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516</Characters>
  <Lines>0</Lines>
  <Paragraphs>0</Paragraphs>
  <TotalTime>0</TotalTime>
  <ScaleCrop>false</ScaleCrop>
  <LinksUpToDate>false</LinksUpToDate>
  <CharactersWithSpaces>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2023-09-05T06:48:00Z</dcterms:created>
  <dc:creator>49935</dc:creator>
  <cp:lastModifiedBy>49935</cp:lastModifiedBy>
  <dcterms:modified xsi:type="dcterms:W3CDTF">2023-09-05T06:51:17Z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5661233F570C4F56A94B28DADB170FBA_13</vt:lpwstr>
  </property>
</Properties>
</file>