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黑体" w:hAnsi="黑体" w:eastAsia="黑体" w:cs="黑体"/>
          <w:sz w:val="30"/>
          <w:szCs w:val="30"/>
        </w:rPr>
      </w:pPr>
      <w:r>
        <w:rPr>
          <w:rFonts w:hint="eastAsia" w:ascii="黑体" w:hAnsi="黑体" w:eastAsia="黑体" w:cs="黑体"/>
          <w:color w:val="000000"/>
          <w:kern w:val="0"/>
          <w:sz w:val="30"/>
          <w:szCs w:val="30"/>
          <w:lang w:val="en-US" w:eastAsia="zh-CN" w:bidi="ar"/>
        </w:rPr>
        <w:t xml:space="preserve">附件 1 </w:t>
      </w:r>
    </w:p>
    <w:p>
      <w:pPr>
        <w:keepNext w:val="0"/>
        <w:keepLines w:val="0"/>
        <w:widowControl/>
        <w:suppressLineNumbers w:val="0"/>
        <w:jc w:val="center"/>
        <w:rPr>
          <w:rFonts w:hint="eastAsia" w:ascii="黑体" w:hAnsi="黑体" w:eastAsia="黑体" w:cs="黑体"/>
          <w:color w:val="000000"/>
          <w:kern w:val="0"/>
          <w:sz w:val="36"/>
          <w:szCs w:val="36"/>
          <w:lang w:val="en-US" w:eastAsia="zh-CN" w:bidi="ar"/>
        </w:rPr>
      </w:pPr>
      <w:r>
        <w:rPr>
          <w:rFonts w:hint="eastAsia" w:ascii="黑体" w:hAnsi="黑体" w:eastAsia="黑体" w:cs="黑体"/>
          <w:color w:val="000000"/>
          <w:kern w:val="0"/>
          <w:sz w:val="36"/>
          <w:szCs w:val="36"/>
          <w:lang w:val="en-US" w:eastAsia="zh-CN" w:bidi="ar"/>
        </w:rPr>
        <w:t>违反评标规范要求不良行为认定表</w:t>
      </w:r>
    </w:p>
    <w:p>
      <w:pPr>
        <w:keepNext w:val="0"/>
        <w:keepLines w:val="0"/>
        <w:widowControl/>
        <w:suppressLineNumbers w:val="0"/>
        <w:jc w:val="center"/>
        <w:rPr>
          <w:rFonts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30"/>
          <w:szCs w:val="30"/>
          <w:lang w:val="en-US" w:eastAsia="zh-CN" w:bidi="ar"/>
        </w:rPr>
        <w:t>（“百城e采”交易平台填写）</w:t>
      </w:r>
    </w:p>
    <w:tbl>
      <w:tblPr>
        <w:tblStyle w:val="3"/>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招标项目名称</w:t>
            </w: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项目交易场所</w:t>
            </w: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评标日期</w:t>
            </w: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专家姓名及身份证号码</w:t>
            </w: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restart"/>
            <w:vAlign w:val="center"/>
          </w:tcPr>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不良行为</w:t>
            </w:r>
            <w:r>
              <w:rPr>
                <w:rFonts w:hint="eastAsia" w:ascii="仿宋_GB2312" w:hAnsi="仿宋_GB2312" w:eastAsia="仿宋_GB2312" w:cs="仿宋_GB2312"/>
                <w:b/>
                <w:bCs/>
                <w:color w:val="000000"/>
                <w:kern w:val="0"/>
                <w:sz w:val="24"/>
                <w:szCs w:val="24"/>
                <w:lang w:val="en-US" w:eastAsia="zh-CN" w:bidi="ar"/>
              </w:rPr>
              <w:t>记录</w:t>
            </w: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接到评标通知确认参加后，无正当理由不参加评标的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both"/>
              <w:rPr>
                <w:rFonts w:hint="default"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超过抽取终端设定时间到达评标规定区域，迟到30 分钟</w:t>
            </w:r>
            <w:r>
              <w:rPr>
                <w:rFonts w:hint="eastAsia" w:ascii="仿宋_GB2312" w:hAnsi="仿宋_GB2312" w:eastAsia="仿宋_GB2312" w:cs="仿宋_GB2312"/>
                <w:color w:val="000000"/>
                <w:kern w:val="0"/>
                <w:sz w:val="24"/>
                <w:szCs w:val="24"/>
                <w:lang w:val="en-US" w:eastAsia="zh-CN" w:bidi="ar"/>
              </w:rPr>
              <w:t>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未按规定存放手提包，手机、电脑、智能手表等各种通讯</w:t>
            </w:r>
            <w:r>
              <w:rPr>
                <w:rFonts w:hint="eastAsia" w:ascii="仿宋_GB2312" w:hAnsi="仿宋_GB2312" w:eastAsia="仿宋_GB2312" w:cs="仿宋_GB2312"/>
                <w:color w:val="000000"/>
                <w:kern w:val="0"/>
                <w:sz w:val="24"/>
                <w:szCs w:val="24"/>
                <w:lang w:val="en-US" w:eastAsia="zh-CN" w:bidi="ar"/>
              </w:rPr>
              <w:t>工具，以及无线接收传送设备、电子存储记忆录放设备的</w:t>
            </w:r>
            <w:r>
              <w:rPr>
                <w:rFonts w:ascii="仿宋_GB2312" w:hAnsi="仿宋_GB2312" w:eastAsia="仿宋_GB2312" w:cs="仿宋_GB2312"/>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不熟悉电子评标操作系统，影响评标工作的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在评标过程中，怠于履行评标职责，存在不独立评标、敷衍应付、简单套用其他评标专家意见、结论、不集中精力评审投标文件等情况的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以不评标、不在评标报告上签字、故意拖延时间等方式， 索要超过规定、约定的劳务报酬的，索要劳务报酬以外的其他好处、财物的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评标过程中随意离开评标室、随意进出其他评标室的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记录、抄写、夹带与评标相关的内容，私自将评标的相关资料带出评标区的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不配合招标人依法组织的中标候选人履约能力审查或异议处理工作的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3" w:type="dxa"/>
            <w:vMerge w:val="continue"/>
            <w:vAlign w:val="center"/>
          </w:tcPr>
          <w:p>
            <w:pPr>
              <w:keepNext w:val="0"/>
              <w:keepLines w:val="0"/>
              <w:widowControl/>
              <w:suppressLineNumbers w:val="0"/>
              <w:jc w:val="both"/>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both"/>
              <w:rPr>
                <w:rFonts w:hint="default" w:ascii="仿宋_GB2312" w:hAnsi="仿宋_GB2312" w:eastAsia="仿宋_GB2312" w:cs="仿宋_GB2312"/>
                <w:b/>
                <w:bCs/>
                <w:color w:val="000000"/>
                <w:kern w:val="0"/>
                <w:sz w:val="24"/>
                <w:szCs w:val="24"/>
                <w:vertAlign w:val="baseline"/>
                <w:lang w:val="en-US" w:eastAsia="zh-CN" w:bidi="ar"/>
              </w:rPr>
            </w:pP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其他违反评标规定的不良行为</w:t>
            </w:r>
            <w:r>
              <w:rPr>
                <w:rFonts w:hint="eastAsia" w:ascii="仿宋_GB2312" w:hAnsi="仿宋_GB2312" w:eastAsia="仿宋_GB2312" w:cs="仿宋_GB2312"/>
                <w:color w:val="000000"/>
                <w:kern w:val="0"/>
                <w:sz w:val="24"/>
                <w:szCs w:val="24"/>
                <w:lang w:val="en-US" w:eastAsia="zh-CN" w:bidi="ar"/>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1723" w:type="dxa"/>
            <w:vAlign w:val="center"/>
          </w:tcPr>
          <w:p>
            <w:pPr>
              <w:keepNext w:val="0"/>
              <w:keepLines w:val="0"/>
              <w:widowControl/>
              <w:suppressLineNumbers w:val="0"/>
              <w:jc w:val="center"/>
            </w:pPr>
            <w:r>
              <w:rPr>
                <w:rFonts w:ascii="仿宋_GB2312" w:hAnsi="仿宋_GB2312" w:eastAsia="仿宋_GB2312" w:cs="仿宋_GB2312"/>
                <w:b/>
                <w:bCs/>
                <w:color w:val="000000"/>
                <w:kern w:val="0"/>
                <w:sz w:val="24"/>
                <w:szCs w:val="24"/>
                <w:lang w:val="en-US" w:eastAsia="zh-CN" w:bidi="ar"/>
              </w:rPr>
              <w:t>认定不良行为</w:t>
            </w:r>
          </w:p>
          <w:p>
            <w:pPr>
              <w:keepNext w:val="0"/>
              <w:keepLines w:val="0"/>
              <w:widowControl/>
              <w:suppressLineNumbers w:val="0"/>
              <w:jc w:val="center"/>
            </w:pPr>
            <w:r>
              <w:rPr>
                <w:rFonts w:ascii="仿宋_GB2312" w:hAnsi="仿宋_GB2312" w:eastAsia="仿宋_GB2312" w:cs="仿宋_GB2312"/>
                <w:b/>
                <w:bCs/>
                <w:color w:val="000000"/>
                <w:kern w:val="0"/>
                <w:sz w:val="24"/>
                <w:szCs w:val="24"/>
                <w:lang w:val="en-US" w:eastAsia="zh-CN" w:bidi="ar"/>
              </w:rPr>
              <w:t>具体情形、认</w:t>
            </w:r>
          </w:p>
          <w:p>
            <w:pPr>
              <w:keepNext w:val="0"/>
              <w:keepLines w:val="0"/>
              <w:widowControl/>
              <w:suppressLineNumbers w:val="0"/>
              <w:jc w:val="center"/>
            </w:pPr>
            <w:r>
              <w:rPr>
                <w:rFonts w:ascii="仿宋_GB2312" w:hAnsi="仿宋_GB2312" w:eastAsia="仿宋_GB2312" w:cs="仿宋_GB2312"/>
                <w:b/>
                <w:bCs/>
                <w:color w:val="000000"/>
                <w:kern w:val="0"/>
                <w:sz w:val="24"/>
                <w:szCs w:val="24"/>
                <w:lang w:val="en-US" w:eastAsia="zh-CN" w:bidi="ar"/>
              </w:rPr>
              <w:t>定依据及作出</w:t>
            </w:r>
          </w:p>
          <w:p>
            <w:pPr>
              <w:keepNext w:val="0"/>
              <w:keepLines w:val="0"/>
              <w:widowControl/>
              <w:suppressLineNumbers w:val="0"/>
              <w:jc w:val="center"/>
            </w:pPr>
            <w:r>
              <w:rPr>
                <w:rFonts w:ascii="仿宋_GB2312" w:hAnsi="仿宋_GB2312" w:eastAsia="仿宋_GB2312" w:cs="仿宋_GB2312"/>
                <w:b/>
                <w:bCs/>
                <w:color w:val="000000"/>
                <w:kern w:val="0"/>
                <w:sz w:val="24"/>
                <w:szCs w:val="24"/>
                <w:lang w:val="en-US" w:eastAsia="zh-CN" w:bidi="ar"/>
              </w:rPr>
              <w:t>认定</w:t>
            </w:r>
          </w:p>
          <w:p>
            <w:pPr>
              <w:keepNext w:val="0"/>
              <w:keepLines w:val="0"/>
              <w:widowControl/>
              <w:suppressLineNumbers w:val="0"/>
              <w:jc w:val="center"/>
              <w:rPr>
                <w:rFonts w:ascii="仿宋_GB2312" w:hAnsi="仿宋_GB2312" w:eastAsia="仿宋_GB2312" w:cs="仿宋_GB2312"/>
                <w:b/>
                <w:bCs/>
                <w:color w:val="000000"/>
                <w:kern w:val="0"/>
                <w:sz w:val="24"/>
                <w:szCs w:val="24"/>
                <w:vertAlign w:val="baseline"/>
                <w:lang w:val="en-US" w:eastAsia="zh-CN" w:bidi="ar"/>
              </w:rPr>
            </w:pPr>
          </w:p>
        </w:tc>
        <w:tc>
          <w:tcPr>
            <w:tcW w:w="6929" w:type="dxa"/>
            <w:vAlign w:val="center"/>
          </w:tcPr>
          <w:p>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p>
          <w:p>
            <w:pPr>
              <w:keepNext w:val="0"/>
              <w:keepLines w:val="0"/>
              <w:widowControl/>
              <w:suppressLineNumbers w:val="0"/>
              <w:jc w:val="righ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百城e采电子交易平台</w:t>
            </w:r>
          </w:p>
          <w:p>
            <w:pPr>
              <w:keepNext w:val="0"/>
              <w:keepLines w:val="0"/>
              <w:widowControl/>
              <w:suppressLineNumbers w:val="0"/>
              <w:jc w:val="right"/>
              <w:rPr>
                <w:rFonts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年 月 日</w:t>
            </w:r>
          </w:p>
        </w:tc>
      </w:tr>
    </w:tbl>
    <w:p>
      <w:pPr>
        <w:keepNext w:val="0"/>
        <w:keepLines w:val="0"/>
        <w:widowControl/>
        <w:suppressLineNumbers w:val="0"/>
        <w:jc w:val="both"/>
      </w:pPr>
      <w:r>
        <w:rPr>
          <w:rFonts w:hint="eastAsia" w:ascii="仿宋_GB2312" w:hAnsi="仿宋_GB2312" w:eastAsia="仿宋_GB2312" w:cs="仿宋_GB2312"/>
          <w:b/>
          <w:bCs/>
          <w:color w:val="000000"/>
          <w:kern w:val="0"/>
          <w:sz w:val="24"/>
          <w:szCs w:val="24"/>
          <w:lang w:val="en-US" w:eastAsia="zh-CN" w:bidi="ar"/>
        </w:rPr>
        <w:t>备注：在不良行为前“□”内打“√”，其他具体情形另行填写。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NzZjZDUzZmZkYmU5ZTEyOWM4MzkxZDlmZjhlMGMifQ=="/>
  </w:docVars>
  <w:rsids>
    <w:rsidRoot w:val="3F477E02"/>
    <w:rsid w:val="3F47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2023-09-05T06:48:00Z</dcterms:created>
  <dc:creator>49935</dc:creator>
  <cp:lastModifiedBy>49935</cp:lastModifiedBy>
  <dcterms:modified xsi:type="dcterms:W3CDTF">2023-09-05T06:49:52Z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7A9AE749B6F34CF391D08C350479CB1A_11</vt:lpwstr>
  </property>
</Properties>
</file>